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Layout w:type="fixed"/>
        <w:tblCellMar>
          <w:left w:w="0" w:type="dxa"/>
          <w:right w:w="0" w:type="dxa"/>
        </w:tblCellMar>
        <w:tblLook w:val="04A0" w:firstRow="1" w:lastRow="0" w:firstColumn="1" w:lastColumn="0" w:noHBand="0" w:noVBand="1"/>
      </w:tblPr>
      <w:tblGrid>
        <w:gridCol w:w="509"/>
        <w:gridCol w:w="8855"/>
      </w:tblGrid>
      <w:tr w:rsidR="0033215C">
        <w:tc>
          <w:tcPr>
            <w:tcW w:w="509" w:type="dxa"/>
            <w:shd w:val="clear" w:color="auto" w:fill="auto"/>
          </w:tcPr>
          <w:p w:rsidR="0033215C" w:rsidRDefault="00AD63BF">
            <w:pPr>
              <w:pStyle w:val="a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shd w:val="clear" w:color="auto" w:fill="auto"/>
          </w:tcPr>
          <w:p w:rsidR="0033215C" w:rsidRDefault="00AD63BF">
            <w:pPr>
              <w:pStyle w:val="a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33215C">
        <w:tc>
          <w:tcPr>
            <w:tcW w:w="509" w:type="dxa"/>
            <w:shd w:val="clear" w:color="auto" w:fill="auto"/>
          </w:tcPr>
          <w:p w:rsidR="0033215C" w:rsidRDefault="00AD63BF">
            <w:pPr>
              <w:pStyle w:val="a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shd w:val="clear" w:color="auto" w:fill="auto"/>
          </w:tcPr>
          <w:tbl>
            <w:tblPr>
              <w:tblpPr w:vertAnchor="page" w:horzAnchor="margin" w:tblpX="1" w:tblpY="341"/>
              <w:tblOverlap w:val="never"/>
              <w:tblW w:w="0" w:type="auto"/>
              <w:tblBorders>
                <w:insideH w:val="single" w:sz="4" w:space="0" w:color="auto"/>
                <w:insideV w:val="single" w:sz="4" w:space="0" w:color="auto"/>
              </w:tblBorders>
              <w:tblLayout w:type="fixed"/>
              <w:tblCellMar>
                <w:left w:w="0" w:type="dxa"/>
                <w:right w:w="113" w:type="dxa"/>
              </w:tblCellMar>
              <w:tblLook w:val="04A0" w:firstRow="1" w:lastRow="0" w:firstColumn="1" w:lastColumn="0" w:noHBand="0" w:noVBand="1"/>
            </w:tblPr>
            <w:tblGrid>
              <w:gridCol w:w="9242"/>
            </w:tblGrid>
            <w:tr w:rsidR="0033215C">
              <w:trPr>
                <w:trHeight w:hRule="exact" w:val="1021"/>
              </w:trPr>
              <w:tc>
                <w:tcPr>
                  <w:tcW w:w="9242" w:type="dxa"/>
                  <w:shd w:val="clear" w:color="auto" w:fill="auto"/>
                  <w:vAlign w:val="center"/>
                </w:tcPr>
                <w:p w:rsidR="0033215C" w:rsidRDefault="00AD63BF" w:rsidP="008F101D">
                  <w:pPr>
                    <w:pStyle w:val="affff1"/>
                    <w:framePr w:w="0" w:hRule="auto" w:wrap="auto" w:hAnchor="text" w:xAlign="left" w:yAlign="inline" w:anchorLock="0"/>
                    <w:ind w:left="420" w:right="624"/>
                    <w:rPr>
                      <w:rFonts w:ascii="宋体" w:hAnsi="宋体"/>
                      <w:sz w:val="28"/>
                      <w:szCs w:val="28"/>
                    </w:rPr>
                  </w:pPr>
                  <w:r>
                    <w:rPr>
                      <w:noProof/>
                    </w:rPr>
                    <w:drawing>
                      <wp:inline distT="0" distB="0" distL="0" distR="0">
                        <wp:extent cx="414020" cy="431165"/>
                        <wp:effectExtent l="0" t="0" r="5080" b="6985"/>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4020" cy="431165"/>
                                </a:xfrm>
                                <a:prstGeom prst="rect">
                                  <a:avLst/>
                                </a:prstGeom>
                                <a:noFill/>
                                <a:ln>
                                  <a:noFill/>
                                </a:ln>
                              </pic:spPr>
                            </pic:pic>
                          </a:graphicData>
                        </a:graphic>
                      </wp:inline>
                    </w:drawing>
                  </w:r>
                  <w:r>
                    <w:rPr>
                      <w:noProof/>
                    </w:rPr>
                    <w:drawing>
                      <wp:inline distT="0" distB="0" distL="0" distR="0">
                        <wp:extent cx="172720" cy="440055"/>
                        <wp:effectExtent l="0" t="0" r="0" b="0"/>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2720" cy="440055"/>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CNEA</w:t>
                  </w:r>
                  <w:r>
                    <w:fldChar w:fldCharType="end"/>
                  </w:r>
                  <w:bookmarkEnd w:id="1"/>
                </w:p>
              </w:tc>
            </w:tr>
          </w:tbl>
          <w:p w:rsidR="0033215C" w:rsidRDefault="00AD63BF">
            <w:pPr>
              <w:pStyle w:val="a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33215C" w:rsidRDefault="00AD63BF">
      <w:pPr>
        <w:pStyle w:val="a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中国核能行业协会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33215C" w:rsidRDefault="00AD63BF">
      <w:pPr>
        <w:pStyle w:val="afffffffffe"/>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33215C" w:rsidRDefault="00AD63BF">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3215C" w:rsidRDefault="00AD63BF">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33215C" w:rsidRDefault="0033215C">
      <w:pPr>
        <w:pStyle w:val="affff2"/>
        <w:framePr w:w="9639" w:h="6976" w:hRule="exact" w:hSpace="0" w:vSpace="0" w:wrap="around" w:hAnchor="page" w:y="6408"/>
        <w:jc w:val="center"/>
        <w:rPr>
          <w:rFonts w:ascii="黑体" w:eastAsia="黑体" w:hAnsi="黑体"/>
          <w:b w:val="0"/>
          <w:bCs w:val="0"/>
          <w:w w:val="100"/>
        </w:rPr>
      </w:pPr>
    </w:p>
    <w:p w:rsidR="0033215C" w:rsidRDefault="00AD63BF">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核电厂配置风险管理导则</w:t>
      </w:r>
      <w:r>
        <w:fldChar w:fldCharType="end"/>
      </w:r>
      <w:bookmarkEnd w:id="9"/>
    </w:p>
    <w:p w:rsidR="0033215C" w:rsidRDefault="0033215C">
      <w:pPr>
        <w:framePr w:w="9639" w:h="6974" w:hRule="exact" w:wrap="around" w:vAnchor="page" w:hAnchor="page" w:x="1419" w:y="6408" w:anchorLock="1"/>
        <w:ind w:left="-1418"/>
      </w:pPr>
    </w:p>
    <w:p w:rsidR="0033215C" w:rsidRDefault="00AD63BF">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The guideline of configuration risk management for nuclear power plant</w:t>
      </w:r>
      <w:r>
        <w:rPr>
          <w:rFonts w:eastAsia="黑体"/>
          <w:szCs w:val="28"/>
        </w:rPr>
        <w:fldChar w:fldCharType="end"/>
      </w:r>
      <w:bookmarkEnd w:id="10"/>
    </w:p>
    <w:p w:rsidR="0033215C" w:rsidRDefault="0033215C">
      <w:pPr>
        <w:framePr w:w="9639" w:h="6974" w:hRule="exact" w:wrap="around" w:vAnchor="page" w:hAnchor="page" w:x="1419" w:y="6408" w:anchorLock="1"/>
        <w:spacing w:line="760" w:lineRule="exact"/>
        <w:ind w:left="-1418"/>
      </w:pPr>
    </w:p>
    <w:p w:rsidR="0033215C" w:rsidRDefault="0033215C">
      <w:pPr>
        <w:pStyle w:val="afffffff2"/>
        <w:framePr w:w="9639" w:h="6974" w:hRule="exact" w:wrap="around" w:vAnchor="page" w:hAnchor="page" w:x="1419" w:y="6408" w:anchorLock="1"/>
        <w:textAlignment w:val="bottom"/>
        <w:rPr>
          <w:rFonts w:eastAsia="黑体"/>
          <w:szCs w:val="28"/>
        </w:rPr>
      </w:pPr>
    </w:p>
    <w:p w:rsidR="0033215C" w:rsidRDefault="00AD63BF">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93DEC">
        <w:rPr>
          <w:sz w:val="24"/>
          <w:szCs w:val="28"/>
        </w:rPr>
      </w:r>
      <w:r w:rsidR="00C93DEC">
        <w:rPr>
          <w:sz w:val="24"/>
          <w:szCs w:val="28"/>
        </w:rPr>
        <w:fldChar w:fldCharType="separate"/>
      </w:r>
      <w:r>
        <w:rPr>
          <w:sz w:val="24"/>
          <w:szCs w:val="28"/>
        </w:rPr>
        <w:fldChar w:fldCharType="end"/>
      </w:r>
      <w:bookmarkEnd w:id="11"/>
    </w:p>
    <w:p w:rsidR="0033215C" w:rsidRDefault="00AD63BF">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3215C" w:rsidRDefault="00AD63BF">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93DEC">
        <w:rPr>
          <w:b/>
          <w:sz w:val="21"/>
          <w:szCs w:val="28"/>
        </w:rPr>
      </w:r>
      <w:r w:rsidR="00C93DEC">
        <w:rPr>
          <w:b/>
          <w:sz w:val="21"/>
          <w:szCs w:val="28"/>
        </w:rPr>
        <w:fldChar w:fldCharType="separate"/>
      </w:r>
      <w:r>
        <w:rPr>
          <w:b/>
          <w:sz w:val="21"/>
          <w:szCs w:val="28"/>
        </w:rPr>
        <w:fldChar w:fldCharType="end"/>
      </w:r>
      <w:bookmarkEnd w:id="13"/>
    </w:p>
    <w:p w:rsidR="0033215C" w:rsidRDefault="00AD63BF">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3215C" w:rsidRDefault="00AD63BF">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3215C" w:rsidRDefault="00AD63BF">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中国核能行业协会</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33215C" w:rsidRDefault="00AD63BF">
      <w:pPr>
        <w:rPr>
          <w:rFonts w:ascii="宋体" w:hAnsi="宋体"/>
          <w:sz w:val="28"/>
          <w:szCs w:val="28"/>
        </w:rPr>
        <w:sectPr w:rsidR="0033215C">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33215C" w:rsidRDefault="00AD63BF">
      <w:pPr>
        <w:pStyle w:val="afffffd"/>
        <w:spacing w:after="360"/>
      </w:pPr>
      <w:bookmarkStart w:id="21" w:name="BookMark1"/>
      <w:bookmarkStart w:id="22" w:name="_Toc83631862"/>
      <w:bookmarkStart w:id="23" w:name="_Toc83631791"/>
      <w:bookmarkStart w:id="24" w:name="_Toc83631838"/>
      <w:r>
        <w:rPr>
          <w:rFonts w:hint="eastAsia"/>
          <w:spacing w:val="320"/>
        </w:rPr>
        <w:lastRenderedPageBreak/>
        <w:t>目</w:t>
      </w:r>
      <w:r>
        <w:rPr>
          <w:rFonts w:hint="eastAsia"/>
        </w:rPr>
        <w:t>次</w:t>
      </w:r>
    </w:p>
    <w:p w:rsidR="0033215C" w:rsidRDefault="00AD63BF">
      <w:pPr>
        <w:pStyle w:val="10"/>
        <w:tabs>
          <w:tab w:val="right" w:leader="dot" w:pos="9344"/>
        </w:tabs>
        <w:rPr>
          <w:rFonts w:asciiTheme="minorHAnsi" w:eastAsiaTheme="minorEastAsia" w:hAnsiTheme="minorHAnsi" w:cstheme="minorBidi"/>
          <w:noProof/>
          <w:szCs w:val="22"/>
        </w:rPr>
      </w:pPr>
      <w:r>
        <w:fldChar w:fldCharType="begin"/>
      </w:r>
      <w:r>
        <w:instrText xml:space="preserve"> TOC \o "1-1" \h </w:instrText>
      </w:r>
      <w:r>
        <w:fldChar w:fldCharType="separate"/>
      </w:r>
      <w:hyperlink w:anchor="_Toc118293428" w:history="1">
        <w:r>
          <w:rPr>
            <w:rStyle w:val="afffe"/>
            <w:rFonts w:hint="eastAsia"/>
            <w:noProof/>
            <w:spacing w:val="320"/>
          </w:rPr>
          <w:t>前</w:t>
        </w:r>
        <w:r>
          <w:rPr>
            <w:rStyle w:val="afffe"/>
            <w:rFonts w:hint="eastAsia"/>
            <w:noProof/>
          </w:rPr>
          <w:t>言</w:t>
        </w:r>
        <w:r>
          <w:rPr>
            <w:noProof/>
          </w:rPr>
          <w:tab/>
        </w:r>
        <w:r>
          <w:rPr>
            <w:noProof/>
          </w:rPr>
          <w:fldChar w:fldCharType="begin"/>
        </w:r>
        <w:r>
          <w:rPr>
            <w:noProof/>
          </w:rPr>
          <w:instrText xml:space="preserve"> PAGEREF _Toc118293428 \h </w:instrText>
        </w:r>
        <w:r>
          <w:rPr>
            <w:noProof/>
          </w:rPr>
        </w:r>
        <w:r>
          <w:rPr>
            <w:noProof/>
          </w:rPr>
          <w:fldChar w:fldCharType="separate"/>
        </w:r>
        <w:r w:rsidR="00E22C1A">
          <w:rPr>
            <w:noProof/>
          </w:rPr>
          <w:t>II</w:t>
        </w:r>
        <w:r>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29" w:history="1">
        <w:r w:rsidR="00AD63BF">
          <w:rPr>
            <w:rStyle w:val="afffe"/>
            <w:rFonts w:hint="eastAsia"/>
            <w:noProof/>
            <w:spacing w:val="320"/>
          </w:rPr>
          <w:t>引</w:t>
        </w:r>
        <w:r w:rsidR="00AD63BF">
          <w:rPr>
            <w:rStyle w:val="afffe"/>
            <w:rFonts w:hint="eastAsia"/>
            <w:noProof/>
          </w:rPr>
          <w:t>言</w:t>
        </w:r>
        <w:r w:rsidR="00AD63BF">
          <w:rPr>
            <w:noProof/>
          </w:rPr>
          <w:tab/>
        </w:r>
        <w:r w:rsidR="00AD63BF">
          <w:rPr>
            <w:noProof/>
          </w:rPr>
          <w:fldChar w:fldCharType="begin"/>
        </w:r>
        <w:r w:rsidR="00AD63BF">
          <w:rPr>
            <w:noProof/>
          </w:rPr>
          <w:instrText xml:space="preserve"> PAGEREF _Toc118293429 \h </w:instrText>
        </w:r>
        <w:r w:rsidR="00AD63BF">
          <w:rPr>
            <w:noProof/>
          </w:rPr>
        </w:r>
        <w:r w:rsidR="00AD63BF">
          <w:rPr>
            <w:noProof/>
          </w:rPr>
          <w:fldChar w:fldCharType="separate"/>
        </w:r>
        <w:r w:rsidR="00E22C1A">
          <w:rPr>
            <w:noProof/>
          </w:rPr>
          <w:t>1</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0" w:history="1">
        <w:r w:rsidR="00AD63BF">
          <w:rPr>
            <w:rStyle w:val="afffe"/>
            <w:noProof/>
          </w:rPr>
          <w:t>1</w:t>
        </w:r>
        <w:r w:rsidR="00AD63BF">
          <w:rPr>
            <w:rStyle w:val="afffe"/>
            <w:rFonts w:hint="eastAsia"/>
            <w:noProof/>
          </w:rPr>
          <w:t xml:space="preserve"> 范围</w:t>
        </w:r>
        <w:r w:rsidR="00AD63BF">
          <w:rPr>
            <w:noProof/>
          </w:rPr>
          <w:tab/>
        </w:r>
        <w:r w:rsidR="00AD63BF">
          <w:rPr>
            <w:noProof/>
          </w:rPr>
          <w:fldChar w:fldCharType="begin"/>
        </w:r>
        <w:r w:rsidR="00AD63BF">
          <w:rPr>
            <w:noProof/>
          </w:rPr>
          <w:instrText xml:space="preserve"> PAGEREF _Toc118293430 \h </w:instrText>
        </w:r>
        <w:r w:rsidR="00AD63BF">
          <w:rPr>
            <w:noProof/>
          </w:rPr>
        </w:r>
        <w:r w:rsidR="00AD63BF">
          <w:rPr>
            <w:noProof/>
          </w:rPr>
          <w:fldChar w:fldCharType="separate"/>
        </w:r>
        <w:r w:rsidR="00E22C1A">
          <w:rPr>
            <w:noProof/>
          </w:rPr>
          <w:t>2</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1" w:history="1">
        <w:r w:rsidR="00AD63BF">
          <w:rPr>
            <w:rStyle w:val="afffe"/>
            <w:noProof/>
          </w:rPr>
          <w:t>2</w:t>
        </w:r>
        <w:r w:rsidR="00AD63BF">
          <w:rPr>
            <w:rStyle w:val="afffe"/>
            <w:rFonts w:hint="eastAsia"/>
            <w:noProof/>
          </w:rPr>
          <w:t xml:space="preserve"> 规范性引用文件</w:t>
        </w:r>
        <w:r w:rsidR="00AD63BF">
          <w:rPr>
            <w:noProof/>
          </w:rPr>
          <w:tab/>
        </w:r>
        <w:r w:rsidR="00AD63BF">
          <w:rPr>
            <w:noProof/>
          </w:rPr>
          <w:fldChar w:fldCharType="begin"/>
        </w:r>
        <w:r w:rsidR="00AD63BF">
          <w:rPr>
            <w:noProof/>
          </w:rPr>
          <w:instrText xml:space="preserve"> PAGEREF _Toc118293431 \h </w:instrText>
        </w:r>
        <w:r w:rsidR="00AD63BF">
          <w:rPr>
            <w:noProof/>
          </w:rPr>
        </w:r>
        <w:r w:rsidR="00AD63BF">
          <w:rPr>
            <w:noProof/>
          </w:rPr>
          <w:fldChar w:fldCharType="separate"/>
        </w:r>
        <w:r w:rsidR="00E22C1A">
          <w:rPr>
            <w:noProof/>
          </w:rPr>
          <w:t>2</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2" w:history="1">
        <w:r w:rsidR="00AD63BF">
          <w:rPr>
            <w:rStyle w:val="afffe"/>
            <w:noProof/>
          </w:rPr>
          <w:t>3</w:t>
        </w:r>
        <w:r w:rsidR="00AD63BF">
          <w:rPr>
            <w:rStyle w:val="afffe"/>
            <w:rFonts w:hint="eastAsia"/>
            <w:noProof/>
          </w:rPr>
          <w:t xml:space="preserve"> 术语与缩略语</w:t>
        </w:r>
        <w:r w:rsidR="00AD63BF">
          <w:rPr>
            <w:noProof/>
          </w:rPr>
          <w:tab/>
        </w:r>
        <w:r w:rsidR="00AD63BF">
          <w:rPr>
            <w:noProof/>
          </w:rPr>
          <w:fldChar w:fldCharType="begin"/>
        </w:r>
        <w:r w:rsidR="00AD63BF">
          <w:rPr>
            <w:noProof/>
          </w:rPr>
          <w:instrText xml:space="preserve"> PAGEREF _Toc118293432 \h </w:instrText>
        </w:r>
        <w:r w:rsidR="00AD63BF">
          <w:rPr>
            <w:noProof/>
          </w:rPr>
        </w:r>
        <w:r w:rsidR="00AD63BF">
          <w:rPr>
            <w:noProof/>
          </w:rPr>
          <w:fldChar w:fldCharType="separate"/>
        </w:r>
        <w:r w:rsidR="00E22C1A">
          <w:rPr>
            <w:noProof/>
          </w:rPr>
          <w:t>2</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3" w:history="1">
        <w:r w:rsidR="00AD63BF">
          <w:rPr>
            <w:rStyle w:val="afffe"/>
            <w:noProof/>
          </w:rPr>
          <w:t>4</w:t>
        </w:r>
        <w:r w:rsidR="00AD63BF">
          <w:rPr>
            <w:rStyle w:val="afffe"/>
            <w:rFonts w:hint="eastAsia"/>
            <w:noProof/>
          </w:rPr>
          <w:t xml:space="preserve"> 配置风险管理范围的确定</w:t>
        </w:r>
        <w:r w:rsidR="00AD63BF">
          <w:rPr>
            <w:noProof/>
          </w:rPr>
          <w:tab/>
        </w:r>
        <w:r w:rsidR="00AD63BF">
          <w:rPr>
            <w:noProof/>
          </w:rPr>
          <w:fldChar w:fldCharType="begin"/>
        </w:r>
        <w:r w:rsidR="00AD63BF">
          <w:rPr>
            <w:noProof/>
          </w:rPr>
          <w:instrText xml:space="preserve"> PAGEREF _Toc118293433 \h </w:instrText>
        </w:r>
        <w:r w:rsidR="00AD63BF">
          <w:rPr>
            <w:noProof/>
          </w:rPr>
        </w:r>
        <w:r w:rsidR="00AD63BF">
          <w:rPr>
            <w:noProof/>
          </w:rPr>
          <w:fldChar w:fldCharType="separate"/>
        </w:r>
        <w:r w:rsidR="00E22C1A">
          <w:rPr>
            <w:noProof/>
          </w:rPr>
          <w:t>4</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4" w:history="1">
        <w:r w:rsidR="00AD63BF">
          <w:rPr>
            <w:rStyle w:val="afffe"/>
            <w:noProof/>
          </w:rPr>
          <w:t>5</w:t>
        </w:r>
        <w:r w:rsidR="00AD63BF">
          <w:rPr>
            <w:rStyle w:val="afffe"/>
            <w:rFonts w:hint="eastAsia"/>
            <w:noProof/>
          </w:rPr>
          <w:t xml:space="preserve"> 实时风险模型的开发与管理</w:t>
        </w:r>
        <w:r w:rsidR="00AD63BF">
          <w:rPr>
            <w:noProof/>
          </w:rPr>
          <w:tab/>
        </w:r>
        <w:r w:rsidR="00AD63BF">
          <w:rPr>
            <w:noProof/>
          </w:rPr>
          <w:fldChar w:fldCharType="begin"/>
        </w:r>
        <w:r w:rsidR="00AD63BF">
          <w:rPr>
            <w:noProof/>
          </w:rPr>
          <w:instrText xml:space="preserve"> PAGEREF _Toc118293434 \h </w:instrText>
        </w:r>
        <w:r w:rsidR="00AD63BF">
          <w:rPr>
            <w:noProof/>
          </w:rPr>
        </w:r>
        <w:r w:rsidR="00AD63BF">
          <w:rPr>
            <w:noProof/>
          </w:rPr>
          <w:fldChar w:fldCharType="separate"/>
        </w:r>
        <w:r w:rsidR="00E22C1A">
          <w:rPr>
            <w:noProof/>
          </w:rPr>
          <w:t>4</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5" w:history="1">
        <w:r w:rsidR="00AD63BF">
          <w:rPr>
            <w:rStyle w:val="afffe"/>
            <w:noProof/>
          </w:rPr>
          <w:t>6</w:t>
        </w:r>
        <w:r w:rsidR="00AD63BF">
          <w:rPr>
            <w:rStyle w:val="afffe"/>
            <w:rFonts w:hint="eastAsia"/>
            <w:noProof/>
          </w:rPr>
          <w:t xml:space="preserve"> 风险阈值的确定</w:t>
        </w:r>
        <w:r w:rsidR="00AD63BF">
          <w:rPr>
            <w:noProof/>
          </w:rPr>
          <w:tab/>
        </w:r>
        <w:r w:rsidR="00AD63BF">
          <w:rPr>
            <w:noProof/>
          </w:rPr>
          <w:fldChar w:fldCharType="begin"/>
        </w:r>
        <w:r w:rsidR="00AD63BF">
          <w:rPr>
            <w:noProof/>
          </w:rPr>
          <w:instrText xml:space="preserve"> PAGEREF _Toc118293435 \h </w:instrText>
        </w:r>
        <w:r w:rsidR="00AD63BF">
          <w:rPr>
            <w:noProof/>
          </w:rPr>
        </w:r>
        <w:r w:rsidR="00AD63BF">
          <w:rPr>
            <w:noProof/>
          </w:rPr>
          <w:fldChar w:fldCharType="separate"/>
        </w:r>
        <w:r w:rsidR="00E22C1A">
          <w:rPr>
            <w:noProof/>
          </w:rPr>
          <w:t>5</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6" w:history="1">
        <w:r w:rsidR="00AD63BF">
          <w:rPr>
            <w:rStyle w:val="afffe"/>
            <w:noProof/>
          </w:rPr>
          <w:t>7</w:t>
        </w:r>
        <w:r w:rsidR="00AD63BF">
          <w:rPr>
            <w:rStyle w:val="afffe"/>
            <w:rFonts w:hint="eastAsia"/>
            <w:noProof/>
          </w:rPr>
          <w:t xml:space="preserve"> 风险管理矩阵的确定</w:t>
        </w:r>
        <w:r w:rsidR="00AD63BF">
          <w:rPr>
            <w:noProof/>
          </w:rPr>
          <w:tab/>
        </w:r>
        <w:r w:rsidR="00AD63BF">
          <w:rPr>
            <w:noProof/>
          </w:rPr>
          <w:fldChar w:fldCharType="begin"/>
        </w:r>
        <w:r w:rsidR="00AD63BF">
          <w:rPr>
            <w:noProof/>
          </w:rPr>
          <w:instrText xml:space="preserve"> PAGEREF _Toc118293436 \h </w:instrText>
        </w:r>
        <w:r w:rsidR="00AD63BF">
          <w:rPr>
            <w:noProof/>
          </w:rPr>
        </w:r>
        <w:r w:rsidR="00AD63BF">
          <w:rPr>
            <w:noProof/>
          </w:rPr>
          <w:fldChar w:fldCharType="separate"/>
        </w:r>
        <w:r w:rsidR="00E22C1A">
          <w:rPr>
            <w:noProof/>
          </w:rPr>
          <w:t>6</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7" w:history="1">
        <w:r w:rsidR="00AD63BF">
          <w:rPr>
            <w:rStyle w:val="afffe"/>
            <w:noProof/>
          </w:rPr>
          <w:t>8</w:t>
        </w:r>
        <w:r w:rsidR="00AD63BF">
          <w:rPr>
            <w:rStyle w:val="afffe"/>
            <w:rFonts w:hint="eastAsia"/>
            <w:noProof/>
          </w:rPr>
          <w:t xml:space="preserve"> 应用软件工具的功能</w:t>
        </w:r>
        <w:r w:rsidR="00AD63BF">
          <w:rPr>
            <w:noProof/>
          </w:rPr>
          <w:tab/>
        </w:r>
        <w:r w:rsidR="00AD63BF">
          <w:rPr>
            <w:noProof/>
          </w:rPr>
          <w:fldChar w:fldCharType="begin"/>
        </w:r>
        <w:r w:rsidR="00AD63BF">
          <w:rPr>
            <w:noProof/>
          </w:rPr>
          <w:instrText xml:space="preserve"> PAGEREF _Toc118293437 \h </w:instrText>
        </w:r>
        <w:r w:rsidR="00AD63BF">
          <w:rPr>
            <w:noProof/>
          </w:rPr>
        </w:r>
        <w:r w:rsidR="00AD63BF">
          <w:rPr>
            <w:noProof/>
          </w:rPr>
          <w:fldChar w:fldCharType="separate"/>
        </w:r>
        <w:r w:rsidR="00E22C1A">
          <w:rPr>
            <w:noProof/>
          </w:rPr>
          <w:t>10</w:t>
        </w:r>
        <w:r w:rsidR="00AD63BF">
          <w:rPr>
            <w:noProof/>
          </w:rPr>
          <w:fldChar w:fldCharType="end"/>
        </w:r>
      </w:hyperlink>
    </w:p>
    <w:p w:rsidR="0033215C" w:rsidRDefault="00C93DEC">
      <w:pPr>
        <w:pStyle w:val="10"/>
        <w:tabs>
          <w:tab w:val="right" w:leader="dot" w:pos="9344"/>
        </w:tabs>
        <w:rPr>
          <w:rFonts w:asciiTheme="minorHAnsi" w:eastAsiaTheme="minorEastAsia" w:hAnsiTheme="minorHAnsi" w:cstheme="minorBidi"/>
          <w:noProof/>
          <w:szCs w:val="22"/>
        </w:rPr>
      </w:pPr>
      <w:hyperlink w:anchor="_Toc118293438" w:history="1">
        <w:r w:rsidR="00AD63BF">
          <w:rPr>
            <w:rStyle w:val="afffe"/>
            <w:noProof/>
          </w:rPr>
          <w:t>9</w:t>
        </w:r>
        <w:r w:rsidR="00AD63BF">
          <w:rPr>
            <w:rStyle w:val="afffe"/>
            <w:rFonts w:hint="eastAsia"/>
            <w:noProof/>
          </w:rPr>
          <w:t xml:space="preserve"> 培训与文档</w:t>
        </w:r>
        <w:r w:rsidR="00AD63BF">
          <w:rPr>
            <w:noProof/>
          </w:rPr>
          <w:tab/>
        </w:r>
        <w:r w:rsidR="00AD63BF">
          <w:rPr>
            <w:noProof/>
          </w:rPr>
          <w:fldChar w:fldCharType="begin"/>
        </w:r>
        <w:r w:rsidR="00AD63BF">
          <w:rPr>
            <w:noProof/>
          </w:rPr>
          <w:instrText xml:space="preserve"> PAGEREF _Toc118293438 \h </w:instrText>
        </w:r>
        <w:r w:rsidR="00AD63BF">
          <w:rPr>
            <w:noProof/>
          </w:rPr>
        </w:r>
        <w:r w:rsidR="00AD63BF">
          <w:rPr>
            <w:noProof/>
          </w:rPr>
          <w:fldChar w:fldCharType="separate"/>
        </w:r>
        <w:r w:rsidR="00E22C1A">
          <w:rPr>
            <w:noProof/>
          </w:rPr>
          <w:t>10</w:t>
        </w:r>
        <w:r w:rsidR="00AD63BF">
          <w:rPr>
            <w:noProof/>
          </w:rPr>
          <w:fldChar w:fldCharType="end"/>
        </w:r>
      </w:hyperlink>
    </w:p>
    <w:p w:rsidR="0033215C" w:rsidRDefault="00AD63BF">
      <w:pPr>
        <w:pStyle w:val="afffffd"/>
        <w:spacing w:after="360"/>
        <w:sectPr w:rsidR="0033215C">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linePitch="312"/>
        </w:sectPr>
      </w:pPr>
      <w:r>
        <w:fldChar w:fldCharType="end"/>
      </w:r>
    </w:p>
    <w:p w:rsidR="0033215C" w:rsidRDefault="00AD63BF">
      <w:pPr>
        <w:pStyle w:val="a6"/>
        <w:spacing w:after="360"/>
      </w:pPr>
      <w:bookmarkStart w:id="25" w:name="_Toc118293428"/>
      <w:bookmarkStart w:id="26" w:name="BookMark2"/>
      <w:bookmarkEnd w:id="21"/>
      <w:r>
        <w:rPr>
          <w:spacing w:val="320"/>
        </w:rPr>
        <w:lastRenderedPageBreak/>
        <w:t>前</w:t>
      </w:r>
      <w:r>
        <w:t>言</w:t>
      </w:r>
      <w:bookmarkEnd w:id="22"/>
      <w:bookmarkEnd w:id="23"/>
      <w:bookmarkEnd w:id="24"/>
      <w:bookmarkEnd w:id="25"/>
    </w:p>
    <w:p w:rsidR="0033215C" w:rsidRDefault="00AD63BF">
      <w:pPr>
        <w:pStyle w:val="affff7"/>
        <w:ind w:firstLine="420"/>
      </w:pPr>
      <w:r>
        <w:rPr>
          <w:rFonts w:hint="eastAsia"/>
        </w:rPr>
        <w:t>本文件按照GB/T 1.1—2020《标准化工作导则  第1部分：标准化文件的结构和起草规则》的规定起草。</w:t>
      </w:r>
    </w:p>
    <w:p w:rsidR="0033215C" w:rsidRDefault="00AD63BF">
      <w:pPr>
        <w:pStyle w:val="affff7"/>
        <w:ind w:firstLineChars="0" w:firstLine="420"/>
      </w:pPr>
      <w:r>
        <w:rPr>
          <w:rFonts w:hint="eastAsia"/>
        </w:rPr>
        <w:t>请注意本文件中的某些内容可能涉及专利。本文件的发布机构不承担识别专利的责任。</w:t>
      </w:r>
    </w:p>
    <w:p w:rsidR="0033215C" w:rsidRDefault="00AD63BF">
      <w:pPr>
        <w:pStyle w:val="affff7"/>
        <w:ind w:firstLine="420"/>
      </w:pPr>
      <w:r>
        <w:rPr>
          <w:rFonts w:hint="eastAsia"/>
        </w:rPr>
        <w:t>本文件由江苏核电有限公司提出。</w:t>
      </w:r>
    </w:p>
    <w:p w:rsidR="0033215C" w:rsidRDefault="00AD63BF">
      <w:pPr>
        <w:pStyle w:val="affff7"/>
        <w:ind w:firstLine="420"/>
      </w:pPr>
      <w:r>
        <w:rPr>
          <w:rFonts w:hint="eastAsia"/>
        </w:rPr>
        <w:t>本文件由中国核能行业协会归口。</w:t>
      </w:r>
    </w:p>
    <w:p w:rsidR="0033215C" w:rsidRDefault="00AD63BF">
      <w:pPr>
        <w:pStyle w:val="affff7"/>
        <w:ind w:firstLine="420"/>
      </w:pPr>
      <w:r>
        <w:rPr>
          <w:rFonts w:hint="eastAsia"/>
        </w:rPr>
        <w:t>本文件起草单位：江苏核电有限公司、</w:t>
      </w:r>
      <w:proofErr w:type="gramStart"/>
      <w:r>
        <w:rPr>
          <w:rFonts w:hint="eastAsia"/>
        </w:rPr>
        <w:t>生态环境部核与</w:t>
      </w:r>
      <w:proofErr w:type="gramEnd"/>
      <w:r>
        <w:rPr>
          <w:rFonts w:hint="eastAsia"/>
        </w:rPr>
        <w:t>辐射安全中心、上海核工程研究设计院有限公司、中国核电工程有限公司。</w:t>
      </w:r>
    </w:p>
    <w:p w:rsidR="0033215C" w:rsidRDefault="00AD63BF">
      <w:pPr>
        <w:pStyle w:val="affff7"/>
        <w:ind w:firstLine="420"/>
      </w:pPr>
      <w:r>
        <w:rPr>
          <w:rFonts w:hint="eastAsia"/>
        </w:rPr>
        <w:t>本文件起草人：顾晓慧、李友谊、郎锡野、孙扬、赵芃菲、于文革、</w:t>
      </w:r>
      <w:r w:rsidR="008F101D">
        <w:rPr>
          <w:rFonts w:hint="eastAsia"/>
        </w:rPr>
        <w:t>依岩、黄志超、初永越、</w:t>
      </w:r>
      <w:bookmarkStart w:id="27" w:name="_GoBack"/>
      <w:bookmarkEnd w:id="27"/>
      <w:r>
        <w:rPr>
          <w:rFonts w:hint="eastAsia"/>
        </w:rPr>
        <w:t>杜东晓、王杰、雷文静。</w:t>
      </w:r>
    </w:p>
    <w:p w:rsidR="0033215C" w:rsidRDefault="0033215C">
      <w:pPr>
        <w:pStyle w:val="affff7"/>
        <w:ind w:firstLine="420"/>
        <w:sectPr w:rsidR="0033215C">
          <w:pgSz w:w="11906" w:h="16838"/>
          <w:pgMar w:top="567" w:right="1134" w:bottom="1134" w:left="1134" w:header="1418" w:footer="1134" w:gutter="284"/>
          <w:pgNumType w:fmt="upperRoman"/>
          <w:cols w:space="425"/>
          <w:formProt w:val="0"/>
          <w:docGrid w:linePitch="312"/>
        </w:sectPr>
      </w:pPr>
    </w:p>
    <w:p w:rsidR="0033215C" w:rsidRDefault="00AD63BF">
      <w:pPr>
        <w:pStyle w:val="a6"/>
        <w:spacing w:after="360"/>
      </w:pPr>
      <w:bookmarkStart w:id="28" w:name="_Toc83631792"/>
      <w:bookmarkStart w:id="29" w:name="_Toc118293429"/>
      <w:bookmarkStart w:id="30" w:name="_Toc83631839"/>
      <w:bookmarkStart w:id="31" w:name="_Toc83631863"/>
      <w:bookmarkStart w:id="32" w:name="BookMark3"/>
      <w:bookmarkEnd w:id="26"/>
      <w:r>
        <w:rPr>
          <w:spacing w:val="320"/>
        </w:rPr>
        <w:lastRenderedPageBreak/>
        <w:t>引</w:t>
      </w:r>
      <w:r>
        <w:t>言</w:t>
      </w:r>
      <w:bookmarkEnd w:id="28"/>
      <w:bookmarkEnd w:id="29"/>
      <w:bookmarkEnd w:id="30"/>
      <w:bookmarkEnd w:id="31"/>
    </w:p>
    <w:p w:rsidR="0033215C" w:rsidRDefault="00AD63BF">
      <w:pPr>
        <w:pStyle w:val="afffffffffff6"/>
      </w:pPr>
      <w:bookmarkStart w:id="33" w:name="BookMark4"/>
      <w:bookmarkEnd w:id="32"/>
      <w:r>
        <w:rPr>
          <w:rFonts w:hint="eastAsia"/>
        </w:rPr>
        <w:t>国家核安全局2017年发布了《改进核电厂维修有效性的技术政策（试行）》，鼓励核电厂在维修前开展风险分析，国家核安全局在2019年进一步发布了《核电厂配置风险管理的技术政策（试行）》，进一步明确、细化了对核电厂在维修前开展风险分析的技术要求。2022年国家核安全局重新修订发布了《核动力厂调试和运行安全规定》（HAF 103）将配置风险管理的要求正式纳入法规。</w:t>
      </w:r>
    </w:p>
    <w:p w:rsidR="0033215C" w:rsidRDefault="00AD63BF">
      <w:pPr>
        <w:pStyle w:val="afffffffffff6"/>
      </w:pPr>
      <w:r>
        <w:rPr>
          <w:rFonts w:hint="eastAsia"/>
        </w:rPr>
        <w:t>配置风险管理成为国家核安全局技术政策强制要求，制定核电厂建立配置风险管理体系的导则是必要的。</w:t>
      </w:r>
    </w:p>
    <w:p w:rsidR="0033215C" w:rsidRDefault="00AD63BF">
      <w:pPr>
        <w:pStyle w:val="afffffffffff6"/>
      </w:pPr>
      <w:r>
        <w:rPr>
          <w:rFonts w:hint="eastAsia"/>
        </w:rPr>
        <w:t>国内核电厂均需要开展配置风险管理工作，本导则对配置风险管理范围的确定、风险模型的开发、风险阈值的确定、风险管理矩阵的确定、应用软件工具的功能要求等进行了规定。</w:t>
      </w:r>
    </w:p>
    <w:p w:rsidR="0033215C" w:rsidRDefault="0033215C">
      <w:pPr>
        <w:pStyle w:val="affff7"/>
        <w:ind w:firstLine="640"/>
        <w:rPr>
          <w:rFonts w:ascii="黑体" w:eastAsia="黑体" w:hAnsi="黑体"/>
          <w:sz w:val="32"/>
          <w:szCs w:val="32"/>
        </w:rPr>
      </w:pPr>
    </w:p>
    <w:p w:rsidR="0033215C" w:rsidRDefault="0033215C">
      <w:pPr>
        <w:spacing w:line="20" w:lineRule="exact"/>
        <w:jc w:val="center"/>
        <w:rPr>
          <w:rFonts w:ascii="黑体" w:eastAsia="黑体" w:hAnsi="黑体"/>
          <w:sz w:val="32"/>
          <w:szCs w:val="32"/>
        </w:rPr>
      </w:pPr>
    </w:p>
    <w:p w:rsidR="0033215C" w:rsidRDefault="00AD63BF">
      <w:pPr>
        <w:pStyle w:val="afffffffff4"/>
        <w:spacing w:beforeLines="182" w:before="436" w:afterLines="1" w:after="2"/>
      </w:pPr>
      <w:bookmarkStart w:id="34" w:name="_Toc89355785"/>
      <w:bookmarkStart w:id="35" w:name="BookMark8"/>
      <w:bookmarkEnd w:id="33"/>
      <w:r>
        <w:br w:type="page"/>
      </w:r>
      <w:r>
        <w:rPr>
          <w:rFonts w:hint="eastAsia"/>
        </w:rPr>
        <w:lastRenderedPageBreak/>
        <w:t>核电厂配置风险管理导则</w:t>
      </w:r>
      <w:bookmarkEnd w:id="34"/>
    </w:p>
    <w:p w:rsidR="0033215C" w:rsidRDefault="00AD63BF">
      <w:pPr>
        <w:pStyle w:val="affffff4"/>
        <w:numPr>
          <w:ilvl w:val="0"/>
          <w:numId w:val="30"/>
        </w:numPr>
        <w:spacing w:before="240" w:after="240"/>
        <w:ind w:left="0"/>
      </w:pPr>
      <w:bookmarkStart w:id="36" w:name="_Toc89355787"/>
      <w:bookmarkStart w:id="37" w:name="_Toc25656468"/>
      <w:bookmarkStart w:id="38" w:name="_Toc118293430"/>
      <w:bookmarkStart w:id="39" w:name="_Toc533506612"/>
      <w:bookmarkStart w:id="40" w:name="_Toc533507395"/>
      <w:bookmarkStart w:id="41" w:name="_Toc533507010"/>
      <w:bookmarkStart w:id="42" w:name="_Toc25656502"/>
      <w:bookmarkStart w:id="43" w:name="_Toc531589403"/>
      <w:r>
        <w:rPr>
          <w:rFonts w:hint="eastAsia"/>
        </w:rPr>
        <w:t>范围</w:t>
      </w:r>
      <w:bookmarkEnd w:id="36"/>
      <w:bookmarkEnd w:id="37"/>
      <w:bookmarkEnd w:id="38"/>
      <w:bookmarkEnd w:id="39"/>
      <w:bookmarkEnd w:id="40"/>
      <w:bookmarkEnd w:id="41"/>
      <w:bookmarkEnd w:id="42"/>
      <w:bookmarkEnd w:id="43"/>
    </w:p>
    <w:p w:rsidR="0033215C" w:rsidRDefault="00AD63BF">
      <w:pPr>
        <w:pStyle w:val="afffffffffff6"/>
      </w:pPr>
      <w:r>
        <w:rPr>
          <w:rFonts w:hint="eastAsia"/>
        </w:rPr>
        <w:t>本标准适用于各水冷核反应堆应用配置风险管理，其他堆型的核电厂可参照执行。</w:t>
      </w:r>
    </w:p>
    <w:p w:rsidR="0033215C" w:rsidRDefault="00AD63BF">
      <w:pPr>
        <w:pStyle w:val="affffff4"/>
        <w:numPr>
          <w:ilvl w:val="0"/>
          <w:numId w:val="30"/>
        </w:numPr>
        <w:spacing w:before="240" w:after="240"/>
        <w:ind w:left="0"/>
      </w:pPr>
      <w:bookmarkStart w:id="44" w:name="_Toc533507011"/>
      <w:bookmarkStart w:id="45" w:name="_Toc25656469"/>
      <w:bookmarkStart w:id="46" w:name="_Toc25656503"/>
      <w:bookmarkStart w:id="47" w:name="_Toc89355788"/>
      <w:bookmarkStart w:id="48" w:name="_Toc118293431"/>
      <w:bookmarkStart w:id="49" w:name="_Toc533507396"/>
      <w:bookmarkStart w:id="50" w:name="_Toc533506613"/>
      <w:bookmarkStart w:id="51" w:name="_Toc531589404"/>
      <w:r>
        <w:rPr>
          <w:rFonts w:hint="eastAsia"/>
        </w:rPr>
        <w:t>规范性引用文件</w:t>
      </w:r>
      <w:bookmarkEnd w:id="44"/>
      <w:bookmarkEnd w:id="45"/>
      <w:bookmarkEnd w:id="46"/>
      <w:bookmarkEnd w:id="47"/>
      <w:bookmarkEnd w:id="48"/>
      <w:bookmarkEnd w:id="49"/>
      <w:bookmarkEnd w:id="50"/>
      <w:bookmarkEnd w:id="51"/>
    </w:p>
    <w:p w:rsidR="0033215C" w:rsidRDefault="00AD63BF">
      <w:pPr>
        <w:pStyle w:val="afffffffffff6"/>
      </w:pPr>
      <w:r>
        <w:rPr>
          <w:rFonts w:hint="eastAsia"/>
        </w:rPr>
        <w:t>下列文件对于本文件的应用是必不可少的。凡是注日期的引用文件，仅所注日期的版本适用于本文件。凡是不注日期的引用文件，其最新版本（包括所有的修改单）适用于本文件。</w:t>
      </w:r>
    </w:p>
    <w:p w:rsidR="0033215C" w:rsidRDefault="00AD63BF">
      <w:pPr>
        <w:pStyle w:val="afffffffffff6"/>
      </w:pPr>
      <w:r>
        <w:rPr>
          <w:rFonts w:hint="eastAsia"/>
        </w:rPr>
        <w:t>HAF 103 核动力厂调试和运行安全规定 2022</w:t>
      </w:r>
    </w:p>
    <w:p w:rsidR="0033215C" w:rsidRDefault="00AD63BF">
      <w:pPr>
        <w:pStyle w:val="afffffffffff6"/>
      </w:pPr>
      <w:r>
        <w:rPr>
          <w:rFonts w:hint="eastAsia"/>
        </w:rPr>
        <w:t>核电厂配置风险管理技术政策（试行） 2019</w:t>
      </w:r>
    </w:p>
    <w:p w:rsidR="0033215C" w:rsidRDefault="00AD63BF">
      <w:pPr>
        <w:pStyle w:val="affffff4"/>
        <w:numPr>
          <w:ilvl w:val="0"/>
          <w:numId w:val="30"/>
        </w:numPr>
        <w:spacing w:before="240" w:after="240"/>
        <w:ind w:left="0"/>
      </w:pPr>
      <w:bookmarkStart w:id="52" w:name="_Toc531589405"/>
      <w:bookmarkStart w:id="53" w:name="_Toc89355789"/>
      <w:bookmarkStart w:id="54" w:name="_Toc118293432"/>
      <w:bookmarkEnd w:id="52"/>
      <w:r>
        <w:rPr>
          <w:rFonts w:hint="eastAsia"/>
        </w:rPr>
        <w:t>术语与缩略语</w:t>
      </w:r>
      <w:bookmarkEnd w:id="53"/>
      <w:bookmarkEnd w:id="54"/>
    </w:p>
    <w:p w:rsidR="0033215C" w:rsidRDefault="00AD63BF">
      <w:pPr>
        <w:pStyle w:val="affffff5"/>
        <w:numPr>
          <w:ilvl w:val="1"/>
          <w:numId w:val="30"/>
        </w:numPr>
        <w:spacing w:before="120" w:after="120"/>
        <w:ind w:left="0"/>
        <w:jc w:val="left"/>
      </w:pPr>
      <w:r>
        <w:rPr>
          <w:rFonts w:hint="eastAsia"/>
        </w:rPr>
        <w:t>系统/设备停役</w:t>
      </w:r>
    </w:p>
    <w:p w:rsidR="0033215C" w:rsidRDefault="00AD63BF">
      <w:pPr>
        <w:pStyle w:val="afffffffffff6"/>
      </w:pPr>
      <w:r>
        <w:rPr>
          <w:rFonts w:hint="eastAsia"/>
        </w:rPr>
        <w:t>系统/设备因自身故障无法实现其功能；系统/设备执行预防性维修或者作为其他设备隔离边界等原因予以隔离无法在自动信号触发时立即启动实现其功能。</w:t>
      </w:r>
    </w:p>
    <w:p w:rsidR="0033215C" w:rsidRDefault="00AD63BF">
      <w:pPr>
        <w:pStyle w:val="affffff5"/>
        <w:numPr>
          <w:ilvl w:val="1"/>
          <w:numId w:val="30"/>
        </w:numPr>
        <w:spacing w:before="120" w:after="120"/>
        <w:ind w:left="0"/>
        <w:jc w:val="left"/>
      </w:pPr>
      <w:r>
        <w:rPr>
          <w:rFonts w:hint="eastAsia"/>
        </w:rPr>
        <w:t>概率安全评价 Probabilistic Safety Assessment，PSA</w:t>
      </w:r>
    </w:p>
    <w:p w:rsidR="0033215C" w:rsidRDefault="00AD63BF">
      <w:pPr>
        <w:pStyle w:val="afffffffffff6"/>
      </w:pPr>
      <w:r>
        <w:rPr>
          <w:rFonts w:hint="eastAsia"/>
        </w:rPr>
        <w:t>在核电厂运行期间，应用概率安全评价方法，考虑核电厂设计和运行的变更、新的技术信息、更加精确的方法和工具、以及从核电厂运行中得到的新信息等，及时更新概率安全分析模型和数据，以充分反映核电厂的现状。</w:t>
      </w:r>
    </w:p>
    <w:p w:rsidR="0033215C" w:rsidRDefault="00AD63BF">
      <w:pPr>
        <w:pStyle w:val="affffff5"/>
        <w:numPr>
          <w:ilvl w:val="1"/>
          <w:numId w:val="30"/>
        </w:numPr>
        <w:spacing w:before="120" w:after="120"/>
        <w:ind w:left="0"/>
        <w:jc w:val="left"/>
      </w:pPr>
      <w:r>
        <w:rPr>
          <w:rFonts w:hint="eastAsia"/>
        </w:rPr>
        <w:t>配置</w:t>
      </w:r>
    </w:p>
    <w:p w:rsidR="0033215C" w:rsidRDefault="00AD63BF">
      <w:pPr>
        <w:pStyle w:val="afffffffffff6"/>
      </w:pPr>
      <w:r>
        <w:rPr>
          <w:rFonts w:hint="eastAsia"/>
        </w:rPr>
        <w:t>核电厂各安全系统、设备及其必要的支持系统所处的状态。</w:t>
      </w:r>
    </w:p>
    <w:p w:rsidR="0033215C" w:rsidRDefault="00AD63BF">
      <w:pPr>
        <w:pStyle w:val="affffff5"/>
        <w:numPr>
          <w:ilvl w:val="1"/>
          <w:numId w:val="30"/>
        </w:numPr>
        <w:spacing w:before="120" w:after="120"/>
        <w:ind w:left="0"/>
        <w:jc w:val="left"/>
      </w:pPr>
      <w:r>
        <w:rPr>
          <w:rFonts w:hint="eastAsia"/>
        </w:rPr>
        <w:t>配置风险管理 Configuration Risk Management，CRM</w:t>
      </w:r>
    </w:p>
    <w:p w:rsidR="0033215C" w:rsidRDefault="00AD63BF">
      <w:pPr>
        <w:pStyle w:val="afffffffffff6"/>
      </w:pPr>
      <w:r>
        <w:rPr>
          <w:rFonts w:hint="eastAsia"/>
        </w:rPr>
        <w:t>利用PSA模型根据核电厂实际运行配置计算风险指标，开展核电厂风险管理的方法。</w:t>
      </w:r>
    </w:p>
    <w:p w:rsidR="0033215C" w:rsidRDefault="00AD63BF">
      <w:pPr>
        <w:pStyle w:val="affffff5"/>
        <w:numPr>
          <w:ilvl w:val="1"/>
          <w:numId w:val="30"/>
        </w:numPr>
        <w:spacing w:before="120" w:after="120"/>
        <w:ind w:left="0"/>
        <w:jc w:val="left"/>
      </w:pPr>
      <w:r>
        <w:rPr>
          <w:rFonts w:hint="eastAsia"/>
        </w:rPr>
        <w:t>风险监测系统 Risk Monitor，RM</w:t>
      </w:r>
    </w:p>
    <w:p w:rsidR="0033215C" w:rsidRDefault="00AD63BF">
      <w:pPr>
        <w:pStyle w:val="afffffffffff6"/>
      </w:pPr>
      <w:r>
        <w:rPr>
          <w:rFonts w:hint="eastAsia"/>
        </w:rPr>
        <w:t>也称为核风险监测系统，RM以PSA模型为基础评价各项生产运行活动对电站核风险影响的工具，是采用实时风险模型计算堆芯损伤频率等机组风险量化指标，以用于电站配置风险管理、维修计划风险管理以及电站状态控制等。</w:t>
      </w:r>
    </w:p>
    <w:p w:rsidR="0033215C" w:rsidRDefault="00AD63BF">
      <w:pPr>
        <w:pStyle w:val="affffff5"/>
        <w:numPr>
          <w:ilvl w:val="1"/>
          <w:numId w:val="30"/>
        </w:numPr>
        <w:spacing w:before="120" w:after="120"/>
        <w:ind w:left="0"/>
        <w:jc w:val="left"/>
      </w:pPr>
      <w:r>
        <w:rPr>
          <w:rFonts w:hint="eastAsia"/>
        </w:rPr>
        <w:t>实时风险模型：</w:t>
      </w:r>
    </w:p>
    <w:p w:rsidR="0033215C" w:rsidRDefault="00AD63BF">
      <w:pPr>
        <w:pStyle w:val="afffffffffff6"/>
      </w:pPr>
      <w:r>
        <w:rPr>
          <w:rFonts w:hint="eastAsia"/>
        </w:rPr>
        <w:t>是指在PSA模型的基础上，转换建立的适用于风险监测系统应用，实时反映电厂配置状态变化对于风险分析逻辑及分析结果影响的模型。</w:t>
      </w:r>
    </w:p>
    <w:p w:rsidR="0033215C" w:rsidRDefault="00AD63BF">
      <w:pPr>
        <w:pStyle w:val="affffff5"/>
        <w:numPr>
          <w:ilvl w:val="1"/>
          <w:numId w:val="30"/>
        </w:numPr>
        <w:spacing w:before="120" w:after="120"/>
        <w:ind w:left="0"/>
        <w:jc w:val="left"/>
      </w:pPr>
      <w:r>
        <w:rPr>
          <w:rFonts w:hint="eastAsia"/>
        </w:rPr>
        <w:t>堆芯损伤频率 Core Damage Frequency, CDF</w:t>
      </w:r>
    </w:p>
    <w:p w:rsidR="0033215C" w:rsidRDefault="00AD63BF">
      <w:pPr>
        <w:pStyle w:val="afffffffffff6"/>
      </w:pPr>
      <w:r>
        <w:rPr>
          <w:rFonts w:hint="eastAsia"/>
        </w:rPr>
        <w:t>单位时间内预计的堆芯损坏事件的次数。单位是：1/堆*年。</w:t>
      </w:r>
    </w:p>
    <w:p w:rsidR="0033215C" w:rsidRDefault="00AD63BF">
      <w:pPr>
        <w:pStyle w:val="affffff5"/>
        <w:numPr>
          <w:ilvl w:val="1"/>
          <w:numId w:val="30"/>
        </w:numPr>
        <w:spacing w:before="120" w:after="120"/>
        <w:ind w:left="0"/>
        <w:jc w:val="left"/>
      </w:pPr>
      <w:r>
        <w:rPr>
          <w:rFonts w:hint="eastAsia"/>
        </w:rPr>
        <w:t>早期大量放射性释放频率 Large Early Release Frequency，LERF</w:t>
      </w:r>
    </w:p>
    <w:p w:rsidR="0033215C" w:rsidRDefault="00AD63BF">
      <w:pPr>
        <w:pStyle w:val="afffffffffff6"/>
      </w:pPr>
      <w:r>
        <w:rPr>
          <w:rFonts w:hint="eastAsia"/>
        </w:rPr>
        <w:t>单位时间内预计的发生早期大量放射性释放的次数。单位是：1/堆*年。</w:t>
      </w:r>
    </w:p>
    <w:p w:rsidR="0033215C" w:rsidRDefault="00AD63BF">
      <w:pPr>
        <w:pStyle w:val="affffff5"/>
        <w:numPr>
          <w:ilvl w:val="1"/>
          <w:numId w:val="30"/>
        </w:numPr>
        <w:spacing w:before="120" w:after="120"/>
        <w:ind w:left="0"/>
        <w:jc w:val="left"/>
      </w:pPr>
      <w:r>
        <w:rPr>
          <w:rFonts w:hint="eastAsia"/>
        </w:rPr>
        <w:t>零维修风险</w:t>
      </w:r>
    </w:p>
    <w:p w:rsidR="0033215C" w:rsidRDefault="00AD63BF">
      <w:pPr>
        <w:pStyle w:val="afffffffffff6"/>
      </w:pPr>
      <w:r>
        <w:rPr>
          <w:rFonts w:hint="eastAsia"/>
        </w:rPr>
        <w:t>如果某瞬时风险对应的是核电厂所有设备都可用情况下的风险值，即没有设备因试验、维修等原因导致</w:t>
      </w:r>
      <w:proofErr w:type="gramStart"/>
      <w:r>
        <w:rPr>
          <w:rFonts w:hint="eastAsia"/>
        </w:rPr>
        <w:t>不</w:t>
      </w:r>
      <w:proofErr w:type="gramEnd"/>
      <w:r>
        <w:rPr>
          <w:rFonts w:hint="eastAsia"/>
        </w:rPr>
        <w:t>可用 零维修）的情况下的风险值，该瞬时风险即为零维修风险。作为风险阈值设定的基准风险，本大纲使用的基准风险包括CDF、LERF，单位为1/堆年。</w:t>
      </w:r>
    </w:p>
    <w:p w:rsidR="0033215C" w:rsidRDefault="00AD63BF">
      <w:pPr>
        <w:pStyle w:val="affffff5"/>
        <w:numPr>
          <w:ilvl w:val="1"/>
          <w:numId w:val="30"/>
        </w:numPr>
        <w:spacing w:before="120" w:after="120"/>
        <w:ind w:left="0"/>
        <w:jc w:val="left"/>
      </w:pPr>
      <w:r>
        <w:rPr>
          <w:rFonts w:hint="eastAsia"/>
        </w:rPr>
        <w:lastRenderedPageBreak/>
        <w:t>基准风险</w:t>
      </w:r>
    </w:p>
    <w:p w:rsidR="0033215C" w:rsidRDefault="00AD63BF">
      <w:pPr>
        <w:pStyle w:val="afffffffffff6"/>
      </w:pPr>
      <w:r>
        <w:rPr>
          <w:rFonts w:hint="eastAsia"/>
        </w:rPr>
        <w:t>是指电站中所有设备都正常运行 没有部件因维修而出役时运用PSA计算出的风险值 CDF等。计算基准风险的方法做了这样的假设：计算基准风险所用运行状态会保持一年不变，所以就不要对此运行状态进行加权计算。基准风险的单位通常用“/堆*年”表示。</w:t>
      </w:r>
    </w:p>
    <w:p w:rsidR="0033215C" w:rsidRDefault="00AD63BF">
      <w:pPr>
        <w:pStyle w:val="affffff5"/>
        <w:numPr>
          <w:ilvl w:val="1"/>
          <w:numId w:val="30"/>
        </w:numPr>
        <w:spacing w:before="120" w:after="120"/>
        <w:ind w:left="0"/>
        <w:jc w:val="left"/>
      </w:pPr>
      <w:r>
        <w:rPr>
          <w:rFonts w:hint="eastAsia"/>
        </w:rPr>
        <w:t>平均风险</w:t>
      </w:r>
    </w:p>
    <w:p w:rsidR="0033215C" w:rsidRDefault="00AD63BF">
      <w:pPr>
        <w:pStyle w:val="afffffffffff6"/>
      </w:pPr>
      <w:r>
        <w:rPr>
          <w:rFonts w:hint="eastAsia"/>
        </w:rPr>
        <w:t>通常是指满功率运行时，由PSA计算得到的风险值。由于引入了维修</w:t>
      </w:r>
      <w:proofErr w:type="gramStart"/>
      <w:r>
        <w:rPr>
          <w:rFonts w:hint="eastAsia"/>
        </w:rPr>
        <w:t>不</w:t>
      </w:r>
      <w:proofErr w:type="gramEnd"/>
      <w:r>
        <w:rPr>
          <w:rFonts w:hint="eastAsia"/>
        </w:rPr>
        <w:t>可用概念，平均风险比基准风险要高。平均风险可以是电站运行状态（满功率，低功率和停堆）风险值的平均并且在这些状态中所有维修</w:t>
      </w:r>
      <w:proofErr w:type="gramStart"/>
      <w:r>
        <w:rPr>
          <w:rFonts w:hint="eastAsia"/>
        </w:rPr>
        <w:t>出役都可能</w:t>
      </w:r>
      <w:proofErr w:type="gramEnd"/>
      <w:r>
        <w:rPr>
          <w:rFonts w:hint="eastAsia"/>
        </w:rPr>
        <w:t>发生。从电站运行状态得来的风险值是经过对每种状态持续时间的加权计算产生的。单位一般是“/堆*年”。</w:t>
      </w:r>
    </w:p>
    <w:p w:rsidR="0033215C" w:rsidRDefault="00AD63BF">
      <w:pPr>
        <w:pStyle w:val="affffff5"/>
        <w:numPr>
          <w:ilvl w:val="1"/>
          <w:numId w:val="30"/>
        </w:numPr>
        <w:spacing w:before="120" w:after="120"/>
        <w:ind w:left="0"/>
        <w:jc w:val="left"/>
      </w:pPr>
      <w:r>
        <w:rPr>
          <w:rFonts w:hint="eastAsia"/>
        </w:rPr>
        <w:t>堆芯损坏频率增量 Incremental Core Damage Frequency ，ICDF</w:t>
      </w:r>
    </w:p>
    <w:p w:rsidR="0033215C" w:rsidRDefault="00AD63BF">
      <w:pPr>
        <w:pStyle w:val="afffffffffff6"/>
      </w:pPr>
      <w:r>
        <w:rPr>
          <w:rFonts w:hint="eastAsia"/>
        </w:rPr>
        <w:t>等于特定状态下的CDF与基准CDF的差值。</w:t>
      </w:r>
    </w:p>
    <w:p w:rsidR="0033215C" w:rsidRDefault="00AD63BF">
      <w:pPr>
        <w:pStyle w:val="affffff5"/>
        <w:numPr>
          <w:ilvl w:val="1"/>
          <w:numId w:val="30"/>
        </w:numPr>
        <w:spacing w:before="120" w:after="120"/>
        <w:ind w:left="0"/>
        <w:jc w:val="left"/>
      </w:pPr>
      <w:r>
        <w:rPr>
          <w:rFonts w:hint="eastAsia"/>
        </w:rPr>
        <w:t>早期大量放射性释放频率增量 Incremental Large Early Release Frequency，ILERF</w:t>
      </w:r>
    </w:p>
    <w:p w:rsidR="0033215C" w:rsidRDefault="00AD63BF">
      <w:pPr>
        <w:pStyle w:val="afffffffffff6"/>
      </w:pPr>
      <w:r>
        <w:rPr>
          <w:rFonts w:hint="eastAsia"/>
        </w:rPr>
        <w:t>等于特定状态下的LERF与基准LERF的差值。</w:t>
      </w:r>
    </w:p>
    <w:p w:rsidR="0033215C" w:rsidRDefault="00AD63BF">
      <w:pPr>
        <w:pStyle w:val="affffff5"/>
        <w:numPr>
          <w:ilvl w:val="1"/>
          <w:numId w:val="30"/>
        </w:numPr>
        <w:spacing w:before="120" w:after="120"/>
        <w:ind w:left="0"/>
        <w:jc w:val="left"/>
      </w:pPr>
      <w:r>
        <w:rPr>
          <w:rFonts w:hint="eastAsia"/>
        </w:rPr>
        <w:t>堆芯损坏概率增量 Incremental Core Damage Probability，ICDP</w:t>
      </w:r>
    </w:p>
    <w:p w:rsidR="0033215C" w:rsidRDefault="00AD63BF">
      <w:pPr>
        <w:pStyle w:val="afffffffffff6"/>
      </w:pPr>
      <w:r>
        <w:rPr>
          <w:rFonts w:hint="eastAsia"/>
        </w:rPr>
        <w:t>ICDF与持续时间的乘积，无单位。</w:t>
      </w:r>
    </w:p>
    <w:p w:rsidR="0033215C" w:rsidRDefault="00AD63BF">
      <w:pPr>
        <w:pStyle w:val="affffff5"/>
        <w:numPr>
          <w:ilvl w:val="1"/>
          <w:numId w:val="30"/>
        </w:numPr>
        <w:spacing w:before="120" w:after="120"/>
        <w:ind w:left="0"/>
        <w:jc w:val="left"/>
      </w:pPr>
      <w:r>
        <w:rPr>
          <w:rFonts w:hint="eastAsia"/>
        </w:rPr>
        <w:t>早期大量放射性释放概率增量 Incremental Large Early Release Probability， ILERP</w:t>
      </w:r>
    </w:p>
    <w:p w:rsidR="0033215C" w:rsidRDefault="00AD63BF">
      <w:pPr>
        <w:pStyle w:val="afffffffffff6"/>
      </w:pPr>
      <w:r>
        <w:rPr>
          <w:rFonts w:hint="eastAsia"/>
        </w:rPr>
        <w:t>ILERF与该状态持续时间的乘积，无单位。</w:t>
      </w:r>
    </w:p>
    <w:p w:rsidR="0033215C" w:rsidRDefault="00AD63BF">
      <w:pPr>
        <w:pStyle w:val="affffff5"/>
        <w:numPr>
          <w:ilvl w:val="1"/>
          <w:numId w:val="30"/>
        </w:numPr>
        <w:spacing w:before="120" w:after="120"/>
        <w:ind w:left="0"/>
        <w:jc w:val="left"/>
      </w:pPr>
      <w:r>
        <w:rPr>
          <w:rFonts w:hint="eastAsia"/>
        </w:rPr>
        <w:t>瞬时风险</w:t>
      </w:r>
    </w:p>
    <w:p w:rsidR="0033215C" w:rsidRDefault="00AD63BF">
      <w:pPr>
        <w:pStyle w:val="afffffffffff6"/>
      </w:pPr>
      <w:r>
        <w:rPr>
          <w:rFonts w:hint="eastAsia"/>
        </w:rPr>
        <w:t>在特定的核电厂配置情况</w:t>
      </w:r>
      <w:proofErr w:type="gramStart"/>
      <w:r>
        <w:rPr>
          <w:rFonts w:hint="eastAsia"/>
        </w:rPr>
        <w:t>下计算</w:t>
      </w:r>
      <w:proofErr w:type="gramEnd"/>
      <w:r>
        <w:rPr>
          <w:rFonts w:hint="eastAsia"/>
        </w:rPr>
        <w:t>得到的风险水平数值，伴随核电厂配置随时间的变化，瞬时风险也是变化的。核电厂常用的瞬时风险指标为CDF和LERF，单位是1/堆年。</w:t>
      </w:r>
    </w:p>
    <w:p w:rsidR="0033215C" w:rsidRDefault="00AD63BF">
      <w:pPr>
        <w:pStyle w:val="affffff5"/>
        <w:numPr>
          <w:ilvl w:val="1"/>
          <w:numId w:val="30"/>
        </w:numPr>
        <w:spacing w:before="120" w:after="120"/>
        <w:ind w:left="0"/>
        <w:jc w:val="left"/>
      </w:pPr>
      <w:r>
        <w:rPr>
          <w:rFonts w:hint="eastAsia"/>
        </w:rPr>
        <w:t>累积风险增量</w:t>
      </w:r>
    </w:p>
    <w:p w:rsidR="0033215C" w:rsidRDefault="00AD63BF">
      <w:pPr>
        <w:pStyle w:val="afffffffffff6"/>
      </w:pPr>
      <w:r>
        <w:rPr>
          <w:rFonts w:hint="eastAsia"/>
        </w:rPr>
        <w:t>某配置的瞬时风险相对零维修风险的增量对该配置持续时间的累积，即为累积风险增量。常用的累积风险指标是ICDP和ILERP。</w:t>
      </w:r>
    </w:p>
    <w:p w:rsidR="0033215C" w:rsidRDefault="00AD63BF">
      <w:pPr>
        <w:pStyle w:val="affffff5"/>
        <w:numPr>
          <w:ilvl w:val="1"/>
          <w:numId w:val="30"/>
        </w:numPr>
        <w:spacing w:before="120" w:after="120"/>
        <w:ind w:left="0"/>
        <w:jc w:val="left"/>
      </w:pPr>
      <w:r>
        <w:rPr>
          <w:rFonts w:hint="eastAsia"/>
        </w:rPr>
        <w:t>允许配置时间 Allowed Configuration Time，ACT</w:t>
      </w:r>
    </w:p>
    <w:p w:rsidR="0033215C" w:rsidRDefault="00AD63BF">
      <w:pPr>
        <w:pStyle w:val="afffffffffff6"/>
      </w:pPr>
      <w:r>
        <w:rPr>
          <w:rFonts w:hint="eastAsia"/>
        </w:rPr>
        <w:t>使用风险监测系统对特定的核电厂配置状态计算得到的允许配置持续时间，即为允许配置时间。比较配置状态的ICDP/ILERP累积到对应风险阈值的时间，选取其中较小的作为允许配置时间。</w:t>
      </w:r>
    </w:p>
    <w:p w:rsidR="0033215C" w:rsidRDefault="00AD63BF">
      <w:pPr>
        <w:pStyle w:val="affffff5"/>
        <w:numPr>
          <w:ilvl w:val="1"/>
          <w:numId w:val="30"/>
        </w:numPr>
        <w:spacing w:before="120" w:after="120"/>
        <w:ind w:left="0"/>
        <w:jc w:val="left"/>
      </w:pPr>
      <w:r>
        <w:rPr>
          <w:rFonts w:hint="eastAsia"/>
        </w:rPr>
        <w:t>运行配置风险</w:t>
      </w:r>
    </w:p>
    <w:p w:rsidR="0033215C" w:rsidRDefault="00AD63BF">
      <w:pPr>
        <w:pStyle w:val="afffffffffff6"/>
      </w:pPr>
      <w:r>
        <w:rPr>
          <w:rFonts w:hint="eastAsia"/>
        </w:rPr>
        <w:t>对机组随机/非计划发生的系统/设备</w:t>
      </w:r>
      <w:proofErr w:type="gramStart"/>
      <w:r>
        <w:rPr>
          <w:rFonts w:hint="eastAsia"/>
        </w:rPr>
        <w:t>不</w:t>
      </w:r>
      <w:proofErr w:type="gramEnd"/>
      <w:r>
        <w:rPr>
          <w:rFonts w:hint="eastAsia"/>
        </w:rPr>
        <w:t>可用分析得到的风险；当发生随机/非计划</w:t>
      </w:r>
      <w:proofErr w:type="gramStart"/>
      <w:r>
        <w:rPr>
          <w:rFonts w:hint="eastAsia"/>
        </w:rPr>
        <w:t>不</w:t>
      </w:r>
      <w:proofErr w:type="gramEnd"/>
      <w:r>
        <w:rPr>
          <w:rFonts w:hint="eastAsia"/>
        </w:rPr>
        <w:t>可用时，机组可能正在开展其他系统/设备的计划性或非计划性维修工作，需要叠加分析。</w:t>
      </w:r>
    </w:p>
    <w:p w:rsidR="0033215C" w:rsidRDefault="00AD63BF">
      <w:pPr>
        <w:pStyle w:val="affffff5"/>
        <w:numPr>
          <w:ilvl w:val="1"/>
          <w:numId w:val="30"/>
        </w:numPr>
        <w:spacing w:before="120" w:after="120"/>
        <w:ind w:left="0"/>
        <w:jc w:val="left"/>
      </w:pPr>
      <w:r>
        <w:rPr>
          <w:rFonts w:hint="eastAsia"/>
        </w:rPr>
        <w:t>维修配置风险</w:t>
      </w:r>
    </w:p>
    <w:p w:rsidR="0033215C" w:rsidRDefault="00AD63BF">
      <w:pPr>
        <w:pStyle w:val="afffffffffff6"/>
      </w:pPr>
      <w:r>
        <w:rPr>
          <w:rFonts w:hint="eastAsia"/>
        </w:rPr>
        <w:t>对系统/设备开展计划性维修致其</w:t>
      </w:r>
      <w:proofErr w:type="gramStart"/>
      <w:r>
        <w:rPr>
          <w:rFonts w:hint="eastAsia"/>
        </w:rPr>
        <w:t>不</w:t>
      </w:r>
      <w:proofErr w:type="gramEnd"/>
      <w:r>
        <w:rPr>
          <w:rFonts w:hint="eastAsia"/>
        </w:rPr>
        <w:t>可用前分析得到的风险；制定、开展计划性维修工作时，机组上可能存在其他计划性或者随机性系统/设备</w:t>
      </w:r>
      <w:proofErr w:type="gramStart"/>
      <w:r>
        <w:rPr>
          <w:rFonts w:hint="eastAsia"/>
        </w:rPr>
        <w:t>不</w:t>
      </w:r>
      <w:proofErr w:type="gramEnd"/>
      <w:r>
        <w:rPr>
          <w:rFonts w:hint="eastAsia"/>
        </w:rPr>
        <w:t>可用，需叠加分析。</w:t>
      </w:r>
    </w:p>
    <w:p w:rsidR="0033215C" w:rsidRDefault="00AD63BF">
      <w:pPr>
        <w:pStyle w:val="affffff5"/>
        <w:numPr>
          <w:ilvl w:val="1"/>
          <w:numId w:val="30"/>
        </w:numPr>
        <w:spacing w:before="120" w:after="120"/>
        <w:ind w:left="0"/>
        <w:jc w:val="left"/>
      </w:pPr>
      <w:r>
        <w:rPr>
          <w:rFonts w:hint="eastAsia"/>
        </w:rPr>
        <w:t>风险管理行动时间 Risk Management Action Time，RMAT</w:t>
      </w:r>
    </w:p>
    <w:p w:rsidR="0033215C" w:rsidRDefault="00AD63BF">
      <w:pPr>
        <w:pStyle w:val="afffffffffff6"/>
      </w:pPr>
      <w:r>
        <w:rPr>
          <w:rFonts w:hint="eastAsia"/>
        </w:rPr>
        <w:t>通过风险评估，当ICDP/ILERP大于正常控制区时，则应采取相应的风险管理措施，以便控制风险，这个时间即为RMAT。</w:t>
      </w:r>
    </w:p>
    <w:p w:rsidR="0033215C" w:rsidRDefault="00AD63BF">
      <w:pPr>
        <w:pStyle w:val="affffff5"/>
        <w:numPr>
          <w:ilvl w:val="1"/>
          <w:numId w:val="30"/>
        </w:numPr>
        <w:spacing w:before="120" w:after="120"/>
        <w:ind w:left="0"/>
        <w:jc w:val="left"/>
      </w:pPr>
      <w:r>
        <w:rPr>
          <w:rFonts w:hint="eastAsia"/>
        </w:rPr>
        <w:t>风险管理措施 Risk Management Actions，RMA</w:t>
      </w:r>
    </w:p>
    <w:p w:rsidR="0033215C" w:rsidRDefault="00AD63BF">
      <w:pPr>
        <w:pStyle w:val="afffffffffff6"/>
      </w:pPr>
      <w:r>
        <w:rPr>
          <w:rFonts w:hint="eastAsia"/>
        </w:rPr>
        <w:t>参考上述的RMAT，RMA即当ICDP/ILERP</w:t>
      </w:r>
      <w:proofErr w:type="gramStart"/>
      <w:r>
        <w:rPr>
          <w:rFonts w:hint="eastAsia"/>
        </w:rPr>
        <w:t>大正常</w:t>
      </w:r>
      <w:proofErr w:type="gramEnd"/>
      <w:r>
        <w:rPr>
          <w:rFonts w:hint="eastAsia"/>
        </w:rPr>
        <w:t>控制区时应采取相应的风险管理措施。</w:t>
      </w:r>
    </w:p>
    <w:p w:rsidR="0033215C" w:rsidRDefault="00AD63BF">
      <w:pPr>
        <w:pStyle w:val="affffff5"/>
        <w:numPr>
          <w:ilvl w:val="1"/>
          <w:numId w:val="30"/>
        </w:numPr>
        <w:spacing w:before="120" w:after="120"/>
        <w:ind w:left="0"/>
        <w:jc w:val="left"/>
      </w:pPr>
      <w:r>
        <w:rPr>
          <w:rFonts w:hint="eastAsia"/>
        </w:rPr>
        <w:t>随机</w:t>
      </w:r>
      <w:proofErr w:type="gramStart"/>
      <w:r>
        <w:rPr>
          <w:rFonts w:hint="eastAsia"/>
        </w:rPr>
        <w:t>不</w:t>
      </w:r>
      <w:proofErr w:type="gramEnd"/>
      <w:r>
        <w:rPr>
          <w:rFonts w:hint="eastAsia"/>
        </w:rPr>
        <w:t>可用</w:t>
      </w:r>
    </w:p>
    <w:p w:rsidR="0033215C" w:rsidRDefault="00AD63BF">
      <w:pPr>
        <w:pStyle w:val="afffffffffff6"/>
      </w:pPr>
      <w:r>
        <w:rPr>
          <w:rFonts w:hint="eastAsia"/>
        </w:rPr>
        <w:lastRenderedPageBreak/>
        <w:t>设备由于随机、偶发原因产生且未按既定计划退出服务造成的</w:t>
      </w:r>
      <w:proofErr w:type="gramStart"/>
      <w:r>
        <w:rPr>
          <w:rFonts w:hint="eastAsia"/>
        </w:rPr>
        <w:t>不</w:t>
      </w:r>
      <w:proofErr w:type="gramEnd"/>
      <w:r>
        <w:rPr>
          <w:rFonts w:hint="eastAsia"/>
        </w:rPr>
        <w:t>可用。</w:t>
      </w:r>
    </w:p>
    <w:p w:rsidR="0033215C" w:rsidRDefault="00AD63BF">
      <w:pPr>
        <w:pStyle w:val="affffff5"/>
        <w:numPr>
          <w:ilvl w:val="1"/>
          <w:numId w:val="30"/>
        </w:numPr>
        <w:spacing w:before="120" w:after="120"/>
        <w:ind w:left="0"/>
        <w:jc w:val="left"/>
      </w:pPr>
      <w:r>
        <w:rPr>
          <w:rFonts w:hint="eastAsia"/>
        </w:rPr>
        <w:t>计划</w:t>
      </w:r>
      <w:proofErr w:type="gramStart"/>
      <w:r>
        <w:rPr>
          <w:rFonts w:hint="eastAsia"/>
        </w:rPr>
        <w:t>不</w:t>
      </w:r>
      <w:proofErr w:type="gramEnd"/>
      <w:r>
        <w:rPr>
          <w:rFonts w:hint="eastAsia"/>
        </w:rPr>
        <w:t>可用</w:t>
      </w:r>
    </w:p>
    <w:p w:rsidR="0033215C" w:rsidRDefault="00AD63BF">
      <w:pPr>
        <w:pStyle w:val="afffffffffff6"/>
      </w:pPr>
      <w:r>
        <w:rPr>
          <w:rFonts w:hint="eastAsia"/>
        </w:rPr>
        <w:t>设备由于计划性的试验、检修、维修等活动而退出服务造成的</w:t>
      </w:r>
      <w:proofErr w:type="gramStart"/>
      <w:r>
        <w:rPr>
          <w:rFonts w:hint="eastAsia"/>
        </w:rPr>
        <w:t>不</w:t>
      </w:r>
      <w:proofErr w:type="gramEnd"/>
      <w:r>
        <w:rPr>
          <w:rFonts w:hint="eastAsia"/>
        </w:rPr>
        <w:t>可用。</w:t>
      </w:r>
    </w:p>
    <w:p w:rsidR="0033215C" w:rsidRDefault="00AD63BF">
      <w:pPr>
        <w:pStyle w:val="affffff4"/>
        <w:numPr>
          <w:ilvl w:val="0"/>
          <w:numId w:val="30"/>
        </w:numPr>
        <w:spacing w:before="240" w:after="240"/>
        <w:ind w:left="0"/>
      </w:pPr>
      <w:bookmarkStart w:id="55" w:name="_Toc89355790"/>
      <w:bookmarkStart w:id="56" w:name="_Toc118293433"/>
      <w:r>
        <w:rPr>
          <w:rFonts w:hint="eastAsia"/>
        </w:rPr>
        <w:t>配置风险管理范围的确定</w:t>
      </w:r>
      <w:bookmarkEnd w:id="55"/>
      <w:bookmarkEnd w:id="56"/>
    </w:p>
    <w:p w:rsidR="0033215C" w:rsidRDefault="00AD63BF">
      <w:pPr>
        <w:pStyle w:val="afffffffffff6"/>
      </w:pPr>
      <w:r>
        <w:rPr>
          <w:rFonts w:hint="eastAsia"/>
        </w:rPr>
        <w:t>核电厂配置风险管理至少包含内部事件一级PSA应用，并逐步开展内部事件二级PSA的应用。有条件的核电厂可以将PSA模型范围扩展至外部灾害、乏燃料水池等，外部灾害应开展灾害事件筛选工作，对风险贡献较大的灾害进行详细分析，例如内部水淹、外部水淹、火灾、地震、飞机坠落等。工况至少包括功率运行工况，并逐步开展停堆工况下的开发与应用工作。</w:t>
      </w:r>
    </w:p>
    <w:p w:rsidR="0033215C" w:rsidRDefault="00AD63BF">
      <w:pPr>
        <w:pStyle w:val="afffffffffff6"/>
      </w:pPr>
      <w:r>
        <w:rPr>
          <w:rFonts w:hint="eastAsia"/>
        </w:rPr>
        <w:t>核电厂宜对照应用的PSA模型范围建立一份《配置风险管理设备清单》，对纳入范围的设备进行配置风险管理。</w:t>
      </w:r>
    </w:p>
    <w:p w:rsidR="0033215C" w:rsidRDefault="00AD63BF">
      <w:pPr>
        <w:pStyle w:val="affffff4"/>
        <w:numPr>
          <w:ilvl w:val="0"/>
          <w:numId w:val="30"/>
        </w:numPr>
        <w:spacing w:before="240" w:after="240"/>
        <w:ind w:left="0"/>
      </w:pPr>
      <w:bookmarkStart w:id="57" w:name="_Toc89355791"/>
      <w:bookmarkStart w:id="58" w:name="_Toc118293434"/>
      <w:r>
        <w:rPr>
          <w:rFonts w:hint="eastAsia"/>
        </w:rPr>
        <w:t>实时风险模型的开发与管理</w:t>
      </w:r>
      <w:bookmarkEnd w:id="57"/>
      <w:bookmarkEnd w:id="58"/>
    </w:p>
    <w:p w:rsidR="0033215C" w:rsidRDefault="00AD63BF">
      <w:pPr>
        <w:pStyle w:val="afffffffffff6"/>
      </w:pPr>
      <w:r>
        <w:rPr>
          <w:rFonts w:hint="eastAsia"/>
        </w:rPr>
        <w:t>基准风险模型对电站实际运行状态进行了假设与简化，某些配置下的电站状态未建模或者只进行了简化建模，这种方式使得模型易于理解和分析，但却不能准确地反映核电站实时运行状况和配置状态，需要利用重构技术进行开发。</w:t>
      </w:r>
    </w:p>
    <w:p w:rsidR="0033215C" w:rsidRDefault="00AD63BF">
      <w:pPr>
        <w:pStyle w:val="affffff5"/>
        <w:numPr>
          <w:ilvl w:val="1"/>
          <w:numId w:val="30"/>
        </w:numPr>
        <w:spacing w:before="120" w:after="120"/>
        <w:ind w:left="0"/>
        <w:jc w:val="left"/>
      </w:pPr>
      <w:bookmarkStart w:id="59" w:name="_Toc89355792"/>
      <w:bookmarkStart w:id="60" w:name="_Toc292545422"/>
      <w:r>
        <w:rPr>
          <w:rFonts w:hint="eastAsia"/>
        </w:rPr>
        <w:t>缺失始发事件的恢复</w:t>
      </w:r>
      <w:bookmarkEnd w:id="59"/>
      <w:bookmarkEnd w:id="60"/>
    </w:p>
    <w:p w:rsidR="0033215C" w:rsidRDefault="00AD63BF">
      <w:pPr>
        <w:pStyle w:val="afffffffffff6"/>
        <w:rPr>
          <w:rFonts w:hAnsi="宋体"/>
          <w:color w:val="000000"/>
          <w:szCs w:val="21"/>
        </w:rPr>
      </w:pPr>
      <w:r>
        <w:rPr>
          <w:rFonts w:hint="eastAsia"/>
        </w:rPr>
        <w:t>基准风险模型在评估始发事件时，为减少分析工作量通常存在着筛选、合并等动作。根据实时风险模型的即时性要求需要恢复这些被筛选、合并的始发事件。</w:t>
      </w:r>
      <w:r>
        <w:rPr>
          <w:rFonts w:hAnsi="宋体" w:hint="eastAsia"/>
          <w:color w:val="000000"/>
          <w:szCs w:val="21"/>
        </w:rPr>
        <w:t>基准风险模型通常对年平均风险贡献很小的始发事件进行了筛选或合并动作。但是，核电站可能存在着一组设备从服务中移除后导致对核电站即时风险影响较大的始发事件。筛选准则在这种情况下就不适用，需要对基准风险模型中筛选出的始发事件重新进行考虑以确定它们是否需要恢复到实时风险模型中。</w:t>
      </w:r>
    </w:p>
    <w:p w:rsidR="0033215C" w:rsidRDefault="00AD63BF">
      <w:pPr>
        <w:pStyle w:val="affffff5"/>
        <w:numPr>
          <w:ilvl w:val="1"/>
          <w:numId w:val="30"/>
        </w:numPr>
        <w:spacing w:before="120" w:after="120"/>
        <w:ind w:left="0"/>
        <w:jc w:val="left"/>
      </w:pPr>
      <w:bookmarkStart w:id="61" w:name="_Toc89355793"/>
      <w:bookmarkStart w:id="62" w:name="_Toc85134876"/>
      <w:r>
        <w:rPr>
          <w:rFonts w:hint="eastAsia"/>
        </w:rPr>
        <w:t>集总始发事件处理</w:t>
      </w:r>
      <w:bookmarkEnd w:id="61"/>
      <w:bookmarkEnd w:id="62"/>
    </w:p>
    <w:p w:rsidR="0033215C" w:rsidRDefault="00AD63BF">
      <w:pPr>
        <w:pStyle w:val="afffffffffff6"/>
      </w:pPr>
      <w:r>
        <w:rPr>
          <w:rFonts w:hint="eastAsia"/>
        </w:rPr>
        <w:t>水冷核电厂一般都由2-4个环路组成。基准风险模型中通常将发生在不同环路的相同位置的始发事件归为一类。这种简化将造成一种不对称性：例如某环路发生失水事故时，因模型假设而不能明确具体是哪一个环路，导致核电站后续动作如应急堆芯冷却系统注入冷却水的注入点无法确定。解决方法就是将每个环路以相同的逻辑关系完整建模。</w:t>
      </w:r>
    </w:p>
    <w:p w:rsidR="0033215C" w:rsidRDefault="00AD63BF">
      <w:pPr>
        <w:pStyle w:val="affffff5"/>
        <w:numPr>
          <w:ilvl w:val="1"/>
          <w:numId w:val="30"/>
        </w:numPr>
        <w:spacing w:before="120" w:after="120"/>
        <w:ind w:left="0"/>
        <w:jc w:val="left"/>
      </w:pPr>
      <w:bookmarkStart w:id="63" w:name="_Toc292545424"/>
      <w:bookmarkStart w:id="64" w:name="_Toc89355794"/>
      <w:r>
        <w:rPr>
          <w:rFonts w:hint="eastAsia"/>
        </w:rPr>
        <w:t>运行/备用列扩展建模</w:t>
      </w:r>
      <w:bookmarkEnd w:id="63"/>
      <w:bookmarkEnd w:id="64"/>
    </w:p>
    <w:p w:rsidR="0033215C" w:rsidRDefault="00AD63BF">
      <w:pPr>
        <w:pStyle w:val="afffffffffff6"/>
      </w:pPr>
      <w:r>
        <w:rPr>
          <w:rFonts w:hint="eastAsia"/>
        </w:rPr>
        <w:t>核电站为了提高安全性采用运行/备用的冗余设计的方式。本标准将运行/备用设备或者系统统称为运行/备用列</w:t>
      </w:r>
      <w:r>
        <w:t>。</w:t>
      </w:r>
      <w:r>
        <w:rPr>
          <w:rFonts w:hint="eastAsia"/>
        </w:rPr>
        <w:t>运行/备用</w:t>
      </w:r>
      <w:proofErr w:type="gramStart"/>
      <w:r>
        <w:rPr>
          <w:rFonts w:hint="eastAsia"/>
        </w:rPr>
        <w:t>列总是</w:t>
      </w:r>
      <w:proofErr w:type="gramEnd"/>
      <w:r>
        <w:rPr>
          <w:rFonts w:hint="eastAsia"/>
        </w:rPr>
        <w:t>成组出现，因此将一组运行/备用列称为列组。基准风险模型一般人为假设一种运行方式进行简化建模以达到控制模型规模的目的。</w:t>
      </w:r>
    </w:p>
    <w:p w:rsidR="0033215C" w:rsidRDefault="00AD63BF">
      <w:pPr>
        <w:pStyle w:val="afffffffffff6"/>
      </w:pPr>
      <w:r>
        <w:rPr>
          <w:rFonts w:hint="eastAsia"/>
        </w:rPr>
        <w:t>需要对基准风险模型</w:t>
      </w:r>
      <w:r>
        <w:t>进行扩</w:t>
      </w:r>
      <w:r>
        <w:rPr>
          <w:rFonts w:hint="eastAsia"/>
        </w:rPr>
        <w:t>展</w:t>
      </w:r>
      <w:r>
        <w:t>建模。</w:t>
      </w:r>
      <w:r>
        <w:rPr>
          <w:rFonts w:hint="eastAsia"/>
        </w:rPr>
        <w:t>在扩展建模时需要考虑所有列的所有失效模式，风险监测系统在进行运行/备用</w:t>
      </w:r>
      <w:proofErr w:type="gramStart"/>
      <w:r>
        <w:rPr>
          <w:rFonts w:hint="eastAsia"/>
        </w:rPr>
        <w:t>列选择</w:t>
      </w:r>
      <w:proofErr w:type="gramEnd"/>
      <w:r>
        <w:rPr>
          <w:rFonts w:hint="eastAsia"/>
        </w:rPr>
        <w:t>时可通过房</w:t>
      </w:r>
      <w:proofErr w:type="gramStart"/>
      <w:r>
        <w:rPr>
          <w:rFonts w:hint="eastAsia"/>
        </w:rPr>
        <w:t>形事件</w:t>
      </w:r>
      <w:proofErr w:type="gramEnd"/>
      <w:r>
        <w:rPr>
          <w:rFonts w:hint="eastAsia"/>
        </w:rPr>
        <w:t>真假取值的变化进行逻辑控制。房</w:t>
      </w:r>
      <w:proofErr w:type="gramStart"/>
      <w:r>
        <w:rPr>
          <w:rFonts w:hint="eastAsia"/>
        </w:rPr>
        <w:t>形事件</w:t>
      </w:r>
      <w:proofErr w:type="gramEnd"/>
      <w:r>
        <w:rPr>
          <w:rFonts w:hint="eastAsia"/>
        </w:rPr>
        <w:t>是一种开关事件。实时风险模型房</w:t>
      </w:r>
      <w:proofErr w:type="gramStart"/>
      <w:r>
        <w:rPr>
          <w:rFonts w:hint="eastAsia"/>
        </w:rPr>
        <w:t>形事件</w:t>
      </w:r>
      <w:proofErr w:type="gramEnd"/>
      <w:r>
        <w:rPr>
          <w:rFonts w:hint="eastAsia"/>
        </w:rPr>
        <w:t>的取值只有“真”或“假”两种：用数值“1”表示逻辑“真”；数值“0”表示逻辑“假”。</w:t>
      </w:r>
    </w:p>
    <w:p w:rsidR="0033215C" w:rsidRDefault="00AD63BF">
      <w:pPr>
        <w:pStyle w:val="affffff5"/>
        <w:numPr>
          <w:ilvl w:val="1"/>
          <w:numId w:val="30"/>
        </w:numPr>
        <w:spacing w:before="120" w:after="120"/>
        <w:ind w:left="0"/>
        <w:jc w:val="left"/>
      </w:pPr>
      <w:bookmarkStart w:id="65" w:name="_Toc89355795"/>
      <w:bookmarkStart w:id="66" w:name="OLE_LINK8"/>
      <w:r>
        <w:rPr>
          <w:rFonts w:hint="eastAsia"/>
        </w:rPr>
        <w:t>维修/试验事件建模</w:t>
      </w:r>
      <w:bookmarkEnd w:id="65"/>
    </w:p>
    <w:bookmarkEnd w:id="66"/>
    <w:p w:rsidR="0033215C" w:rsidRDefault="00AD63BF">
      <w:pPr>
        <w:pStyle w:val="afffffffffff6"/>
      </w:pPr>
      <w:r>
        <w:rPr>
          <w:rFonts w:hint="eastAsia"/>
        </w:rPr>
        <w:t>维修/试验事件在基准风险模型中这种方法是可取的：假设一段时间内（例如一年）内</w:t>
      </w:r>
      <w:proofErr w:type="gramStart"/>
      <w:r>
        <w:rPr>
          <w:rFonts w:hint="eastAsia"/>
        </w:rPr>
        <w:t>某设备</w:t>
      </w:r>
      <w:proofErr w:type="gramEnd"/>
      <w:r>
        <w:rPr>
          <w:rFonts w:hint="eastAsia"/>
        </w:rPr>
        <w:t>或设备组维修的可能性。但是在实时风险模型表示的即时风险，即某个设备或设备组在特定的时间内其状态是一定的，那么表示维修/试验可能性的维修/试验事件就成为多余。解决方案有两种：</w:t>
      </w: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Pr>
          <w:rFonts w:hint="eastAsia"/>
        </w:rPr>
        <w:t>在实时风险模型</w:t>
      </w:r>
      <w:proofErr w:type="gramStart"/>
      <w:r>
        <w:rPr>
          <w:rFonts w:hint="eastAsia"/>
        </w:rPr>
        <w:t>中直接将这类</w:t>
      </w:r>
      <w:proofErr w:type="gramEnd"/>
      <w:r>
        <w:rPr>
          <w:rFonts w:hint="eastAsia"/>
        </w:rPr>
        <w:t>基本事件移除；</w:t>
      </w: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Pr>
          <w:rFonts w:hint="eastAsia"/>
        </w:rPr>
        <w:t>将维修/试验事件的概率值在风险监测系统数据库中设为零。第一种方法实现较为简便，后一种方法的实现要更多地依赖软件。在使用概率安全分析软件基于基准风险模型对实时风险模型进行更新时，后一种方法的优势更加显现出来，因此被广为使用。</w:t>
      </w:r>
    </w:p>
    <w:p w:rsidR="0033215C" w:rsidRDefault="00AD63BF">
      <w:pPr>
        <w:pStyle w:val="affffff5"/>
        <w:numPr>
          <w:ilvl w:val="1"/>
          <w:numId w:val="30"/>
        </w:numPr>
        <w:spacing w:before="120" w:after="120"/>
        <w:ind w:left="0"/>
        <w:jc w:val="left"/>
      </w:pPr>
      <w:bookmarkStart w:id="67" w:name="_Toc292545427"/>
      <w:bookmarkStart w:id="68" w:name="_Toc89355796"/>
      <w:r>
        <w:rPr>
          <w:rFonts w:hint="eastAsia"/>
        </w:rPr>
        <w:t>动态事件</w:t>
      </w:r>
      <w:bookmarkEnd w:id="67"/>
      <w:bookmarkEnd w:id="68"/>
    </w:p>
    <w:p w:rsidR="0033215C" w:rsidRDefault="00AD63BF">
      <w:pPr>
        <w:pStyle w:val="afffffffffff6"/>
      </w:pPr>
      <w:r>
        <w:rPr>
          <w:rFonts w:hint="eastAsia"/>
        </w:rPr>
        <w:lastRenderedPageBreak/>
        <w:t>基准风险</w:t>
      </w:r>
      <w:r>
        <w:t>模型中</w:t>
      </w:r>
      <w:r>
        <w:rPr>
          <w:rFonts w:hint="eastAsia"/>
        </w:rPr>
        <w:t>基本</w:t>
      </w:r>
      <w:r>
        <w:t>事件的</w:t>
      </w:r>
      <w:r>
        <w:rPr>
          <w:rFonts w:hint="eastAsia"/>
        </w:rPr>
        <w:t>概率值</w:t>
      </w:r>
      <w:r>
        <w:t>是固定的</w:t>
      </w:r>
      <w:r>
        <w:rPr>
          <w:rFonts w:hint="eastAsia"/>
        </w:rPr>
        <w:t>。</w:t>
      </w:r>
      <w:r>
        <w:t>然而在不同的</w:t>
      </w:r>
      <w:r>
        <w:rPr>
          <w:rFonts w:hint="eastAsia"/>
        </w:rPr>
        <w:t>外部</w:t>
      </w:r>
      <w:r>
        <w:t>环境</w:t>
      </w:r>
      <w:r>
        <w:rPr>
          <w:rFonts w:hint="eastAsia"/>
        </w:rPr>
        <w:t>或核电站配置状态</w:t>
      </w:r>
      <w:r>
        <w:t>下，某些</w:t>
      </w:r>
      <w:r>
        <w:rPr>
          <w:rFonts w:hint="eastAsia"/>
        </w:rPr>
        <w:t>基本事件的值会随之改变</w:t>
      </w:r>
      <w:r>
        <w:t>，为了揭示这种影响，可将</w:t>
      </w:r>
      <w:r>
        <w:rPr>
          <w:rFonts w:hint="eastAsia"/>
        </w:rPr>
        <w:t>这些基本事件作为</w:t>
      </w:r>
      <w:r>
        <w:t>动态事件，通过</w:t>
      </w:r>
      <w:r>
        <w:rPr>
          <w:rFonts w:hint="eastAsia"/>
        </w:rPr>
        <w:t>某些方式</w:t>
      </w:r>
      <w:r>
        <w:t>对</w:t>
      </w:r>
      <w:r>
        <w:rPr>
          <w:rFonts w:hint="eastAsia"/>
        </w:rPr>
        <w:t>动态</w:t>
      </w:r>
      <w:r>
        <w:t>事件的发生频率进行调整。</w:t>
      </w:r>
      <w:r>
        <w:rPr>
          <w:rFonts w:hint="eastAsia"/>
        </w:rPr>
        <w:t>理论上，PSA中可将大多数基本事件考虑为动态事件，例如泵和断路器的失效取决于房间的温度，LOCA始发事件的失效率取决于发生环路的温度和压力等等。风险监测系统将越来越多地考虑动态事件建模，但是考虑到实际可操作性与风险监测系统的实时性要求，本标准认为应优先考虑如下情况：</w:t>
      </w:r>
    </w:p>
    <w:p w:rsidR="0033215C" w:rsidRDefault="00AD63BF">
      <w:pPr>
        <w:pStyle w:val="afffffffffff7"/>
        <w:numPr>
          <w:ilvl w:val="0"/>
          <w:numId w:val="32"/>
        </w:numPr>
        <w:overflowPunct w:val="0"/>
        <w:autoSpaceDE w:val="0"/>
        <w:ind w:firstLineChars="0"/>
        <w:rPr>
          <w:rFonts w:hAnsi="宋体"/>
          <w:color w:val="000000"/>
          <w:szCs w:val="21"/>
        </w:rPr>
      </w:pPr>
      <w:r>
        <w:rPr>
          <w:rFonts w:hAnsi="宋体" w:hint="eastAsia"/>
          <w:color w:val="000000"/>
          <w:szCs w:val="21"/>
        </w:rPr>
        <w:t>环境因素、电站运行模式等对始发事件频率值的影响。</w:t>
      </w:r>
      <w:r>
        <w:rPr>
          <w:rFonts w:hAnsi="宋体"/>
          <w:color w:val="000000"/>
          <w:szCs w:val="21"/>
        </w:rPr>
        <w:t>如</w:t>
      </w:r>
      <w:r>
        <w:rPr>
          <w:rFonts w:hAnsi="宋体" w:hint="eastAsia"/>
          <w:color w:val="000000"/>
          <w:szCs w:val="21"/>
        </w:rPr>
        <w:t>恶劣天气</w:t>
      </w:r>
      <w:r>
        <w:rPr>
          <w:rFonts w:hAnsi="宋体"/>
          <w:color w:val="000000"/>
          <w:szCs w:val="21"/>
        </w:rPr>
        <w:t>等会直接影响丧失场外电源的发生频率</w:t>
      </w:r>
      <w:r>
        <w:rPr>
          <w:rFonts w:hAnsi="宋体" w:hint="eastAsia"/>
          <w:color w:val="000000"/>
          <w:szCs w:val="21"/>
        </w:rPr>
        <w:t>，季节因素对取水口丧失的频率，低功率时热传输系统压力较低使得发生</w:t>
      </w:r>
      <w:r>
        <w:rPr>
          <w:rFonts w:hAnsi="宋体" w:hint="eastAsia"/>
          <w:color w:val="000000"/>
          <w:szCs w:val="21"/>
        </w:rPr>
        <w:t>LOCA</w:t>
      </w:r>
      <w:r>
        <w:rPr>
          <w:rFonts w:hAnsi="宋体" w:hint="eastAsia"/>
          <w:color w:val="000000"/>
          <w:szCs w:val="21"/>
        </w:rPr>
        <w:t>的可能性较小。</w:t>
      </w:r>
    </w:p>
    <w:p w:rsidR="0033215C" w:rsidRDefault="00AD63BF">
      <w:pPr>
        <w:pStyle w:val="afffffffffff7"/>
        <w:numPr>
          <w:ilvl w:val="0"/>
          <w:numId w:val="32"/>
        </w:numPr>
        <w:overflowPunct w:val="0"/>
        <w:autoSpaceDE w:val="0"/>
        <w:ind w:firstLineChars="0"/>
        <w:rPr>
          <w:rFonts w:hAnsi="宋体"/>
          <w:color w:val="000000"/>
          <w:szCs w:val="21"/>
        </w:rPr>
      </w:pPr>
      <w:r>
        <w:rPr>
          <w:rFonts w:hAnsi="宋体" w:hint="eastAsia"/>
          <w:color w:val="000000"/>
          <w:szCs w:val="21"/>
        </w:rPr>
        <w:t>备用设备启动方式不同时对设备失效概率值的影响。备用设备包含如下启动方式：需求时自动启动；需求时手动启动；需求时没有起作用。</w:t>
      </w:r>
    </w:p>
    <w:p w:rsidR="0033215C" w:rsidRDefault="00AD63BF">
      <w:pPr>
        <w:pStyle w:val="afffffffffff7"/>
        <w:numPr>
          <w:ilvl w:val="0"/>
          <w:numId w:val="32"/>
        </w:numPr>
        <w:overflowPunct w:val="0"/>
        <w:autoSpaceDE w:val="0"/>
        <w:ind w:firstLineChars="0"/>
        <w:rPr>
          <w:rFonts w:hAnsi="宋体"/>
          <w:color w:val="000000"/>
          <w:szCs w:val="21"/>
        </w:rPr>
      </w:pPr>
      <w:r>
        <w:rPr>
          <w:rFonts w:hAnsi="宋体" w:hint="eastAsia"/>
          <w:color w:val="000000"/>
          <w:szCs w:val="21"/>
        </w:rPr>
        <w:t>人因事件。人员失误在</w:t>
      </w:r>
      <w:r>
        <w:rPr>
          <w:rFonts w:hAnsi="宋体" w:hint="eastAsia"/>
          <w:color w:val="000000"/>
          <w:szCs w:val="21"/>
        </w:rPr>
        <w:t>PSA</w:t>
      </w:r>
      <w:r>
        <w:rPr>
          <w:rFonts w:hAnsi="宋体" w:hint="eastAsia"/>
          <w:color w:val="000000"/>
          <w:szCs w:val="21"/>
        </w:rPr>
        <w:t>量化目标中占了较大份额，又其概率值会随着操作人员的状态、操作环境的变化而变化。所以评估人因事件的变化显得格外重要。</w:t>
      </w:r>
    </w:p>
    <w:p w:rsidR="0033215C" w:rsidRDefault="00AD63BF">
      <w:pPr>
        <w:ind w:firstLine="480"/>
      </w:pPr>
      <w:r>
        <w:rPr>
          <w:rFonts w:hint="eastAsia"/>
        </w:rPr>
        <w:t>处理动态事件的建模处理更多地要依赖风险监测系统软件来实现，方式有两种：</w:t>
      </w:r>
    </w:p>
    <w:p w:rsidR="0033215C" w:rsidRDefault="00AD63BF">
      <w:pPr>
        <w:pStyle w:val="afffffffffff7"/>
        <w:numPr>
          <w:ilvl w:val="0"/>
          <w:numId w:val="33"/>
        </w:numPr>
        <w:overflowPunct w:val="0"/>
        <w:autoSpaceDE w:val="0"/>
        <w:ind w:firstLineChars="0"/>
        <w:rPr>
          <w:rFonts w:hAnsi="宋体"/>
          <w:color w:val="000000"/>
          <w:szCs w:val="21"/>
        </w:rPr>
      </w:pPr>
      <w:r>
        <w:rPr>
          <w:rFonts w:hAnsi="宋体" w:hint="eastAsia"/>
          <w:color w:val="000000"/>
          <w:szCs w:val="21"/>
        </w:rPr>
        <w:t>建立数据库。该数据库保存所有动态事件的可能</w:t>
      </w:r>
      <w:proofErr w:type="gramStart"/>
      <w:r>
        <w:rPr>
          <w:rFonts w:hAnsi="宋体" w:hint="eastAsia"/>
          <w:color w:val="000000"/>
          <w:szCs w:val="21"/>
        </w:rPr>
        <w:t>值或者加权值</w:t>
      </w:r>
      <w:proofErr w:type="gramEnd"/>
      <w:r>
        <w:rPr>
          <w:rFonts w:hAnsi="宋体" w:hint="eastAsia"/>
          <w:color w:val="000000"/>
          <w:szCs w:val="21"/>
        </w:rPr>
        <w:t>——动态因子，再根据核电站不同的配置状态选取不同值。</w:t>
      </w:r>
    </w:p>
    <w:p w:rsidR="0033215C" w:rsidRDefault="00AD63BF">
      <w:pPr>
        <w:pStyle w:val="afffffffffff7"/>
        <w:numPr>
          <w:ilvl w:val="0"/>
          <w:numId w:val="33"/>
        </w:numPr>
        <w:overflowPunct w:val="0"/>
        <w:autoSpaceDE w:val="0"/>
        <w:ind w:firstLineChars="0"/>
        <w:rPr>
          <w:rFonts w:hAnsi="宋体"/>
          <w:color w:val="000000"/>
        </w:rPr>
      </w:pPr>
      <w:r>
        <w:rPr>
          <w:rFonts w:hAnsi="宋体" w:hint="eastAsia"/>
          <w:color w:val="000000"/>
          <w:szCs w:val="21"/>
        </w:rPr>
        <w:t>使用逻辑开关事件。模型中添加动态事件的所有可能值，通过房</w:t>
      </w:r>
      <w:proofErr w:type="gramStart"/>
      <w:r>
        <w:rPr>
          <w:rFonts w:hAnsi="宋体" w:hint="eastAsia"/>
          <w:color w:val="000000"/>
          <w:szCs w:val="21"/>
        </w:rPr>
        <w:t>形事件</w:t>
      </w:r>
      <w:proofErr w:type="gramEnd"/>
      <w:r>
        <w:rPr>
          <w:rFonts w:hAnsi="宋体" w:hint="eastAsia"/>
          <w:color w:val="000000"/>
          <w:szCs w:val="21"/>
        </w:rPr>
        <w:t>来根据不同电站配置状态选取不同值进行逻辑控制。</w:t>
      </w:r>
    </w:p>
    <w:p w:rsidR="0033215C" w:rsidRDefault="00AD63BF">
      <w:pPr>
        <w:pStyle w:val="affffff5"/>
        <w:numPr>
          <w:ilvl w:val="1"/>
          <w:numId w:val="30"/>
        </w:numPr>
        <w:spacing w:before="120" w:after="120"/>
        <w:ind w:left="0"/>
        <w:jc w:val="left"/>
      </w:pPr>
      <w:bookmarkStart w:id="69" w:name="_Toc89355797"/>
      <w:bookmarkStart w:id="70" w:name="_Toc292545428"/>
      <w:proofErr w:type="gramStart"/>
      <w:r>
        <w:rPr>
          <w:rFonts w:hint="eastAsia"/>
        </w:rPr>
        <w:t>共因事件</w:t>
      </w:r>
      <w:bookmarkEnd w:id="69"/>
      <w:bookmarkEnd w:id="70"/>
      <w:proofErr w:type="gramEnd"/>
    </w:p>
    <w:p w:rsidR="0033215C" w:rsidRDefault="00AD63BF">
      <w:pPr>
        <w:pStyle w:val="afffffffffff6"/>
      </w:pPr>
      <w:r>
        <w:rPr>
          <w:rFonts w:hint="eastAsia"/>
        </w:rPr>
        <w:t>当正常运行时多个冗余设备之间可能由于共同的原因而失效，当其中一个或多个设备离线维修即冗余度降低时，</w:t>
      </w:r>
      <w:proofErr w:type="gramStart"/>
      <w:r>
        <w:rPr>
          <w:rFonts w:hint="eastAsia"/>
        </w:rPr>
        <w:t>该共因</w:t>
      </w:r>
      <w:proofErr w:type="gramEnd"/>
      <w:r>
        <w:rPr>
          <w:rFonts w:hint="eastAsia"/>
        </w:rPr>
        <w:t>事件的概率值将发生变化。</w:t>
      </w:r>
    </w:p>
    <w:p w:rsidR="0033215C" w:rsidRDefault="00AD63BF">
      <w:pPr>
        <w:pStyle w:val="afffffffffff6"/>
      </w:pPr>
      <w:r>
        <w:rPr>
          <w:rFonts w:hint="eastAsia"/>
        </w:rPr>
        <w:t>基准风险模型通常</w:t>
      </w:r>
      <w:proofErr w:type="gramStart"/>
      <w:r>
        <w:rPr>
          <w:rFonts w:hint="eastAsia"/>
        </w:rPr>
        <w:t>使用共因事件</w:t>
      </w:r>
      <w:proofErr w:type="gramEnd"/>
      <w:r>
        <w:rPr>
          <w:rFonts w:hint="eastAsia"/>
        </w:rPr>
        <w:t>来反映，即将设备失效细分为独立失效</w:t>
      </w:r>
      <w:proofErr w:type="gramStart"/>
      <w:r>
        <w:rPr>
          <w:rFonts w:hint="eastAsia"/>
        </w:rPr>
        <w:t>与共因失效</w:t>
      </w:r>
      <w:proofErr w:type="gramEnd"/>
      <w:r>
        <w:rPr>
          <w:rFonts w:hint="eastAsia"/>
        </w:rPr>
        <w:t>，部分软件</w:t>
      </w:r>
      <w:proofErr w:type="gramStart"/>
      <w:r>
        <w:rPr>
          <w:rFonts w:hint="eastAsia"/>
        </w:rPr>
        <w:t>支持共因</w:t>
      </w:r>
      <w:proofErr w:type="gramEnd"/>
      <w:r>
        <w:rPr>
          <w:rFonts w:hint="eastAsia"/>
        </w:rPr>
        <w:t>事件的设置，但是计算时依然会将设备失效进一步拆分为独立</w:t>
      </w:r>
      <w:proofErr w:type="gramStart"/>
      <w:r>
        <w:rPr>
          <w:rFonts w:hint="eastAsia"/>
        </w:rPr>
        <w:t>与共因失效</w:t>
      </w:r>
      <w:proofErr w:type="gramEnd"/>
      <w:r>
        <w:rPr>
          <w:rFonts w:hint="eastAsia"/>
        </w:rPr>
        <w:t>部分。</w:t>
      </w:r>
    </w:p>
    <w:p w:rsidR="0033215C" w:rsidRDefault="00AD63BF">
      <w:pPr>
        <w:pStyle w:val="afffffffffff6"/>
      </w:pPr>
      <w:proofErr w:type="gramStart"/>
      <w:r>
        <w:rPr>
          <w:rFonts w:hint="eastAsia"/>
        </w:rPr>
        <w:t>添加共因事件</w:t>
      </w:r>
      <w:proofErr w:type="gramEnd"/>
      <w:r>
        <w:rPr>
          <w:rFonts w:hint="eastAsia"/>
        </w:rPr>
        <w:t>方法一般适合β</w:t>
      </w:r>
      <w:proofErr w:type="gramStart"/>
      <w:r>
        <w:rPr>
          <w:rFonts w:hint="eastAsia"/>
        </w:rPr>
        <w:t>共因模型</w:t>
      </w:r>
      <w:proofErr w:type="gramEnd"/>
      <w:r>
        <w:rPr>
          <w:rFonts w:hint="eastAsia"/>
        </w:rPr>
        <w:t>。一般建模时往往在每个冗余设备的失效</w:t>
      </w:r>
      <w:proofErr w:type="gramStart"/>
      <w:r>
        <w:rPr>
          <w:rFonts w:hint="eastAsia"/>
        </w:rPr>
        <w:t>基本事件旁以或门</w:t>
      </w:r>
      <w:proofErr w:type="gramEnd"/>
      <w:r>
        <w:rPr>
          <w:rFonts w:hint="eastAsia"/>
        </w:rPr>
        <w:t>链接</w:t>
      </w:r>
      <w:proofErr w:type="gramStart"/>
      <w:r>
        <w:rPr>
          <w:rFonts w:hint="eastAsia"/>
        </w:rPr>
        <w:t>一个共因事件</w:t>
      </w:r>
      <w:proofErr w:type="gramEnd"/>
      <w:r>
        <w:rPr>
          <w:rFonts w:hint="eastAsia"/>
        </w:rPr>
        <w:t>，然后再以与门相连接，当</w:t>
      </w:r>
      <w:proofErr w:type="gramStart"/>
      <w:r>
        <w:rPr>
          <w:rFonts w:hint="eastAsia"/>
        </w:rPr>
        <w:t>设备共因失效</w:t>
      </w:r>
      <w:proofErr w:type="gramEnd"/>
      <w:r>
        <w:rPr>
          <w:rFonts w:hint="eastAsia"/>
        </w:rPr>
        <w:t>时通过额外</w:t>
      </w:r>
      <w:proofErr w:type="gramStart"/>
      <w:r>
        <w:rPr>
          <w:rFonts w:hint="eastAsia"/>
        </w:rPr>
        <w:t>设定共因事件</w:t>
      </w:r>
      <w:proofErr w:type="gramEnd"/>
      <w:r>
        <w:rPr>
          <w:rFonts w:hint="eastAsia"/>
        </w:rPr>
        <w:t>为“真”进行计算。</w:t>
      </w:r>
    </w:p>
    <w:p w:rsidR="0033215C" w:rsidRDefault="00AD63BF">
      <w:pPr>
        <w:pStyle w:val="afffffffffff6"/>
      </w:pPr>
      <w:r>
        <w:rPr>
          <w:rFonts w:hint="eastAsia"/>
        </w:rPr>
        <w:t>当采用多希腊字母（MGL）等</w:t>
      </w:r>
      <w:proofErr w:type="gramStart"/>
      <w:r>
        <w:rPr>
          <w:rFonts w:hint="eastAsia"/>
        </w:rPr>
        <w:t>复杂共因模型</w:t>
      </w:r>
      <w:proofErr w:type="gramEnd"/>
      <w:r>
        <w:rPr>
          <w:rFonts w:hint="eastAsia"/>
        </w:rPr>
        <w:t>时，一般需要PSA软件支持。MGL</w:t>
      </w:r>
      <w:proofErr w:type="gramStart"/>
      <w:r>
        <w:rPr>
          <w:rFonts w:hint="eastAsia"/>
        </w:rPr>
        <w:t>共因公式</w:t>
      </w:r>
      <w:proofErr w:type="gramEnd"/>
      <w:r>
        <w:rPr>
          <w:rFonts w:hint="eastAsia"/>
        </w:rPr>
        <w:t>如下：</w:t>
      </w:r>
    </w:p>
    <w:p w:rsidR="0033215C" w:rsidRDefault="00C93DEC">
      <w:pPr>
        <w:pStyle w:val="afffffffffff6"/>
        <w:jc w:val="center"/>
        <w:rPr>
          <w:rFonts w:ascii="Cambria Math" w:hAnsi="Cambria Math" w:hint="eastAsia"/>
        </w:rPr>
      </w:pPr>
      <m:oMathPara>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d>
                <m:dPr>
                  <m:ctrlPr>
                    <w:rPr>
                      <w:rFonts w:ascii="Cambria Math" w:hAnsi="Cambria Math"/>
                    </w:rPr>
                  </m:ctrlPr>
                </m:dPr>
                <m:e>
                  <m:f>
                    <m:fPr>
                      <m:type m:val="noBar"/>
                      <m:ctrlPr>
                        <w:rPr>
                          <w:rFonts w:ascii="Cambria Math" w:hAnsi="Cambria Math"/>
                        </w:rPr>
                      </m:ctrlPr>
                    </m:fPr>
                    <m:num>
                      <m:r>
                        <m:rPr>
                          <m:sty m:val="p"/>
                        </m:rPr>
                        <w:rPr>
                          <w:rFonts w:ascii="Cambria Math" w:hAnsi="Cambria Math"/>
                        </w:rPr>
                        <m:t>m-1</m:t>
                      </m:r>
                    </m:num>
                    <m:den>
                      <m:r>
                        <m:rPr>
                          <m:sty m:val="p"/>
                        </m:rPr>
                        <w:rPr>
                          <w:rFonts w:ascii="Cambria Math" w:hAnsi="Cambria Math"/>
                        </w:rPr>
                        <m:t>k-1</m:t>
                      </m:r>
                    </m:den>
                  </m:f>
                </m:e>
              </m:d>
            </m:den>
          </m:f>
          <m:d>
            <m:dPr>
              <m:ctrlPr>
                <w:rPr>
                  <w:rFonts w:ascii="Cambria Math" w:hAnsi="Cambria Math"/>
                </w:rPr>
              </m:ctrlPr>
            </m:dPr>
            <m:e>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k</m:t>
                  </m:r>
                </m:sup>
                <m:e>
                  <m:sSub>
                    <m:sSubPr>
                      <m:ctrlPr>
                        <w:rPr>
                          <w:rFonts w:ascii="Cambria Math" w:hAnsi="Cambria Math"/>
                        </w:rPr>
                      </m:ctrlPr>
                    </m:sSubPr>
                    <m:e>
                      <m:r>
                        <m:rPr>
                          <m:sty m:val="p"/>
                        </m:rPr>
                        <w:rPr>
                          <w:rFonts w:ascii="Cambria Math" w:hAnsi="Cambria Math"/>
                        </w:rPr>
                        <m:t>ρ</m:t>
                      </m:r>
                    </m:e>
                    <m:sub>
                      <m:r>
                        <m:rPr>
                          <m:sty m:val="p"/>
                        </m:rPr>
                        <w:rPr>
                          <w:rFonts w:ascii="Cambria Math" w:hAnsi="Cambria Math"/>
                        </w:rPr>
                        <m:t>i</m:t>
                      </m:r>
                    </m:sub>
                  </m:sSub>
                </m:e>
              </m:nary>
            </m:e>
          </m:d>
          <m:d>
            <m:dPr>
              <m:ctrlPr>
                <w:rPr>
                  <w:rFonts w:ascii="Cambria Math" w:hAnsi="Cambria Math"/>
                </w:rPr>
              </m:ctrlPr>
            </m:dPr>
            <m:e>
              <m:r>
                <m:rPr>
                  <m:sty m:val="p"/>
                </m:rPr>
                <w:rPr>
                  <w:rFonts w:ascii="Cambria Math" w:hAnsi="Cambria Math"/>
                </w:rPr>
                <m:t>1-</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k+1</m:t>
                  </m:r>
                </m:sub>
              </m:sSub>
            </m:e>
          </m:d>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oMath>
      </m:oMathPara>
    </w:p>
    <w:p w:rsidR="0033215C" w:rsidRDefault="00C93DEC">
      <w:pPr>
        <w:pStyle w:val="afffffffffff6"/>
        <w:ind w:firstLineChars="0" w:firstLine="0"/>
        <w:jc w:val="center"/>
        <w:rPr>
          <w:rFonts w:ascii="Cambria Math" w:hAnsi="Cambria Math" w:hint="eastAsia"/>
        </w:rPr>
      </w:pPr>
      <m:oMathPara>
        <m:oMathParaPr>
          <m:jc m:val="center"/>
        </m:oMathParaPr>
        <m:oMath>
          <m:sSub>
            <m:sSubPr>
              <m:ctrlPr>
                <w:rPr>
                  <w:rFonts w:ascii="Cambria Math" w:hAnsi="Cambria Math"/>
                </w:rPr>
              </m:ctrlPr>
            </m:sSubPr>
            <m:e>
              <m:r>
                <m:rPr>
                  <m:sty m:val="p"/>
                </m:rPr>
                <w:rPr>
                  <w:rFonts w:ascii="Cambria Math" w:hAnsi="Cambria Math"/>
                </w:rPr>
                <m:t>ρ</m:t>
              </m:r>
            </m:e>
            <m:sub>
              <m:r>
                <m:rPr>
                  <m:sty m:val="p"/>
                </m:rPr>
                <w:rPr>
                  <w:rFonts w:ascii="Cambria Math" w:hAnsi="Cambria Math"/>
                </w:rPr>
                <m:t>1</m:t>
              </m:r>
            </m:sub>
          </m:sSub>
          <m:r>
            <m:rPr>
              <m:sty m:val="p"/>
            </m:rPr>
            <w:rPr>
              <w:rFonts w:ascii="Cambria Math" w:hAnsi="Cambria Math"/>
            </w:rPr>
            <m:t>=1</m:t>
          </m:r>
          <m:r>
            <m:rPr>
              <m:sty m:val="p"/>
            </m:rPr>
            <w:rPr>
              <w:rFonts w:ascii="Cambria Math" w:hAnsi="Cambria Math"/>
            </w:rPr>
            <m:t>，</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2</m:t>
              </m:r>
            </m:sub>
          </m:sSub>
          <m:r>
            <m:rPr>
              <m:sty m:val="p"/>
            </m:rPr>
            <w:rPr>
              <w:rFonts w:ascii="Cambria Math" w:hAnsi="Cambria Math"/>
            </w:rPr>
            <m:t>=β</m:t>
          </m:r>
          <m:r>
            <m:rPr>
              <m:sty m:val="p"/>
            </m:rPr>
            <w:rPr>
              <w:rFonts w:ascii="Cambria Math" w:hAnsi="Cambria Math"/>
            </w:rPr>
            <m:t>，</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3</m:t>
              </m:r>
            </m:sub>
          </m:sSub>
          <m:r>
            <m:rPr>
              <m:sty m:val="p"/>
            </m:rPr>
            <w:rPr>
              <w:rFonts w:ascii="Cambria Math" w:hAnsi="Cambria Math"/>
            </w:rPr>
            <m:t>=γ</m:t>
          </m:r>
          <m:r>
            <m:rPr>
              <m:sty m:val="p"/>
            </m:rPr>
            <w:rPr>
              <w:rFonts w:ascii="Cambria Math" w:hAnsi="Cambria Math"/>
            </w:rPr>
            <m:t>，</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4</m:t>
              </m:r>
            </m:sub>
          </m:sSub>
          <m:r>
            <m:rPr>
              <m:sty m:val="p"/>
            </m:rPr>
            <w:rPr>
              <w:rFonts w:ascii="Cambria Math" w:hAnsi="Cambria Math"/>
            </w:rPr>
            <m:t>=δ</m:t>
          </m:r>
          <m:r>
            <m:rPr>
              <m:sty m:val="p"/>
            </m:rPr>
            <w:rPr>
              <w:rFonts w:ascii="Cambria Math" w:hAnsi="Cambria Math"/>
            </w:rPr>
            <m:t>，</m:t>
          </m:r>
          <m:r>
            <m:rPr>
              <m:sty m:val="p"/>
            </m:rP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ρ</m:t>
              </m:r>
            </m:e>
            <m:sub>
              <m:r>
                <m:rPr>
                  <m:sty m:val="p"/>
                </m:rPr>
                <w:rPr>
                  <w:rFonts w:ascii="Cambria Math" w:hAnsi="Cambria Math"/>
                </w:rPr>
                <m:t>m+1</m:t>
              </m:r>
            </m:sub>
          </m:sSub>
          <m:r>
            <m:rPr>
              <m:sty m:val="p"/>
            </m:rPr>
            <w:rPr>
              <w:rFonts w:ascii="Cambria Math" w:hAnsi="Cambria Math"/>
            </w:rPr>
            <m:t>=0</m:t>
          </m:r>
        </m:oMath>
      </m:oMathPara>
    </w:p>
    <w:p w:rsidR="0033215C" w:rsidRDefault="00AD63BF">
      <w:pPr>
        <w:pStyle w:val="afffffffffff6"/>
        <w:ind w:firstLineChars="0" w:firstLine="0"/>
      </w:pPr>
      <w:r>
        <w:rPr>
          <w:rFonts w:hint="eastAsia"/>
        </w:rPr>
        <w:t>对于四阶MGL</w:t>
      </w:r>
      <w:proofErr w:type="gramStart"/>
      <w:r>
        <w:rPr>
          <w:rFonts w:hint="eastAsia"/>
        </w:rPr>
        <w:t>共因失效</w:t>
      </w:r>
      <w:proofErr w:type="gramEnd"/>
      <w:r>
        <w:rPr>
          <w:rFonts w:hint="eastAsia"/>
        </w:rPr>
        <w:t>：</w:t>
      </w:r>
    </w:p>
    <w:p w:rsidR="0033215C" w:rsidRDefault="00C93DEC">
      <w:pPr>
        <w:pStyle w:val="afffffffffff6"/>
        <w:jc w:val="center"/>
      </w:pPr>
      <m:oMath>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d>
          <m:dPr>
            <m:ctrlPr>
              <w:rPr>
                <w:rFonts w:ascii="Cambria Math" w:hAnsi="Cambria Math"/>
                <w:i/>
              </w:rPr>
            </m:ctrlPr>
          </m:dPr>
          <m:e>
            <m:r>
              <w:rPr>
                <w:rFonts w:ascii="Cambria Math" w:hAnsi="Cambria Math"/>
              </w:rPr>
              <m:t>1-</m:t>
            </m:r>
            <m:r>
              <m:rPr>
                <m:sty m:val="p"/>
              </m:rPr>
              <w:rPr>
                <w:rFonts w:ascii="Cambria Math" w:hAnsi="Cambria Math"/>
              </w:rPr>
              <m:t>β</m:t>
            </m:r>
          </m:e>
        </m:d>
        <m:sSub>
          <m:sSubPr>
            <m:ctrlPr>
              <w:rPr>
                <w:rFonts w:ascii="Cambria Math" w:hAnsi="Cambria Math"/>
                <w:i/>
              </w:rPr>
            </m:ctrlPr>
          </m:sSubPr>
          <m:e>
            <m:r>
              <w:rPr>
                <w:rFonts w:ascii="Cambria Math" w:hAnsi="Cambria Math"/>
              </w:rPr>
              <m:t>Q</m:t>
            </m:r>
          </m:e>
          <m:sub>
            <m:r>
              <w:rPr>
                <w:rFonts w:ascii="Cambria Math" w:hAnsi="Cambria Math"/>
              </w:rPr>
              <m:t>d</m:t>
            </m:r>
          </m:sub>
        </m:sSub>
      </m:oMath>
      <w:r w:rsidR="00AD63BF">
        <w:rPr>
          <w:rFonts w:hint="eastAsia"/>
        </w:rPr>
        <w:t>，</w:t>
      </w:r>
      <m:oMath>
        <m:sSub>
          <m:sSubPr>
            <m:ctrlPr>
              <w:rPr>
                <w:rFonts w:ascii="Cambria Math" w:hAnsi="Cambria Math"/>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m:rPr>
            <m:sty m:val="p"/>
          </m:rPr>
          <w:rPr>
            <w:rFonts w:ascii="Cambria Math" w:hAnsi="Cambria Math"/>
          </w:rPr>
          <m:t>β</m:t>
        </m:r>
        <m:d>
          <m:dPr>
            <m:ctrlPr>
              <w:rPr>
                <w:rFonts w:ascii="Cambria Math" w:hAnsi="Cambria Math"/>
                <w:i/>
              </w:rPr>
            </m:ctrlPr>
          </m:dPr>
          <m:e>
            <m:r>
              <w:rPr>
                <w:rFonts w:ascii="Cambria Math" w:hAnsi="Cambria Math"/>
              </w:rPr>
              <m:t>1-</m:t>
            </m:r>
            <m:r>
              <m:rPr>
                <m:sty m:val="p"/>
              </m:rPr>
              <w:rPr>
                <w:rFonts w:ascii="Cambria Math" w:hAnsi="Cambria Math"/>
              </w:rPr>
              <m:t>γ</m:t>
            </m:r>
          </m:e>
        </m:d>
        <m:sSub>
          <m:sSubPr>
            <m:ctrlPr>
              <w:rPr>
                <w:rFonts w:ascii="Cambria Math" w:hAnsi="Cambria Math"/>
                <w:i/>
              </w:rPr>
            </m:ctrlPr>
          </m:sSubPr>
          <m:e>
            <m:r>
              <w:rPr>
                <w:rFonts w:ascii="Cambria Math" w:hAnsi="Cambria Math"/>
              </w:rPr>
              <m:t>Q</m:t>
            </m:r>
          </m:e>
          <m:sub>
            <m:r>
              <w:rPr>
                <w:rFonts w:ascii="Cambria Math" w:hAnsi="Cambria Math"/>
              </w:rPr>
              <m:t>d</m:t>
            </m:r>
          </m:sub>
        </m:sSub>
      </m:oMath>
      <w:r w:rsidR="00AD63BF">
        <w:rPr>
          <w:rFonts w:hint="eastAsia"/>
        </w:rPr>
        <w:t>，</w:t>
      </w:r>
      <m:oMath>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m:rPr>
            <m:sty m:val="p"/>
          </m:rPr>
          <w:rPr>
            <w:rFonts w:ascii="Cambria Math" w:hAnsi="Cambria Math"/>
          </w:rPr>
          <m:t>βγ</m:t>
        </m:r>
        <m:d>
          <m:dPr>
            <m:ctrlPr>
              <w:rPr>
                <w:rFonts w:ascii="Cambria Math" w:hAnsi="Cambria Math"/>
                <w:i/>
              </w:rPr>
            </m:ctrlPr>
          </m:dPr>
          <m:e>
            <m:r>
              <w:rPr>
                <w:rFonts w:ascii="Cambria Math" w:hAnsi="Cambria Math"/>
              </w:rPr>
              <m:t>1-</m:t>
            </m:r>
            <m:r>
              <m:rPr>
                <m:sty m:val="p"/>
              </m:rPr>
              <w:rPr>
                <w:rFonts w:ascii="Cambria Math" w:hAnsi="Cambria Math"/>
              </w:rPr>
              <m:t>δ</m:t>
            </m:r>
          </m:e>
        </m:d>
        <m:sSub>
          <m:sSubPr>
            <m:ctrlPr>
              <w:rPr>
                <w:rFonts w:ascii="Cambria Math" w:hAnsi="Cambria Math"/>
                <w:i/>
              </w:rPr>
            </m:ctrlPr>
          </m:sSubPr>
          <m:e>
            <m:r>
              <w:rPr>
                <w:rFonts w:ascii="Cambria Math" w:hAnsi="Cambria Math"/>
              </w:rPr>
              <m:t>Q</m:t>
            </m:r>
          </m:e>
          <m:sub>
            <m:r>
              <w:rPr>
                <w:rFonts w:ascii="Cambria Math" w:hAnsi="Cambria Math"/>
              </w:rPr>
              <m:t>d</m:t>
            </m:r>
          </m:sub>
        </m:sSub>
      </m:oMath>
      <w:r w:rsidR="00AD63BF">
        <w:rPr>
          <w:rFonts w:hint="eastAsia"/>
        </w:rPr>
        <w:t>，</w:t>
      </w:r>
      <m:oMath>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m:t>
        </m:r>
        <m:r>
          <m:rPr>
            <m:sty m:val="p"/>
          </m:rPr>
          <w:rPr>
            <w:rFonts w:ascii="Cambria Math" w:hAnsi="Cambria Math"/>
          </w:rPr>
          <m:t>βγδ</m:t>
        </m:r>
        <m:sSub>
          <m:sSubPr>
            <m:ctrlPr>
              <w:rPr>
                <w:rFonts w:ascii="Cambria Math" w:hAnsi="Cambria Math"/>
                <w:i/>
              </w:rPr>
            </m:ctrlPr>
          </m:sSubPr>
          <m:e>
            <m:r>
              <w:rPr>
                <w:rFonts w:ascii="Cambria Math" w:hAnsi="Cambria Math"/>
              </w:rPr>
              <m:t>Q</m:t>
            </m:r>
          </m:e>
          <m:sub>
            <m:r>
              <w:rPr>
                <w:rFonts w:ascii="Cambria Math" w:hAnsi="Cambria Math"/>
              </w:rPr>
              <m:t>d</m:t>
            </m:r>
          </m:sub>
        </m:sSub>
      </m:oMath>
    </w:p>
    <w:p w:rsidR="0033215C" w:rsidRDefault="00AD63BF">
      <w:pPr>
        <w:pStyle w:val="afffffffffff6"/>
      </w:pPr>
      <w:r>
        <w:rPr>
          <w:rFonts w:hint="eastAsia"/>
        </w:rPr>
        <w:t>每个CCF事件都是基于基本事件概率</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oMath>
      <w:r>
        <w:rPr>
          <w:rFonts w:hint="eastAsia"/>
        </w:rPr>
        <w:t>计算的。如果事件为CCF相关，则可以将</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oMath>
      <w:r>
        <w:rPr>
          <w:rFonts w:hint="eastAsia"/>
        </w:rPr>
        <w:t>视为Q = 1.0，因此每个CCF组合的概率将与CCF因子相对应。</w:t>
      </w:r>
    </w:p>
    <w:p w:rsidR="0033215C" w:rsidRDefault="00AD63BF">
      <w:pPr>
        <w:pStyle w:val="affffff4"/>
        <w:numPr>
          <w:ilvl w:val="0"/>
          <w:numId w:val="30"/>
        </w:numPr>
        <w:spacing w:before="240" w:after="240"/>
        <w:ind w:left="0"/>
      </w:pPr>
      <w:bookmarkStart w:id="71" w:name="_Toc118293435"/>
      <w:bookmarkStart w:id="72" w:name="_Toc89355798"/>
      <w:r>
        <w:rPr>
          <w:rFonts w:hint="eastAsia"/>
        </w:rPr>
        <w:t>风险阈值的确定</w:t>
      </w:r>
      <w:bookmarkEnd w:id="71"/>
      <w:bookmarkEnd w:id="72"/>
    </w:p>
    <w:p w:rsidR="0033215C" w:rsidRDefault="00AD63BF">
      <w:pPr>
        <w:pStyle w:val="afffffffffff6"/>
        <w:tabs>
          <w:tab w:val="clear" w:pos="4201"/>
          <w:tab w:val="center" w:pos="1134"/>
        </w:tabs>
        <w:ind w:firstLineChars="0"/>
      </w:pPr>
      <w:r>
        <w:rPr>
          <w:rFonts w:hint="eastAsia"/>
        </w:rPr>
        <w:t>国内外核电厂设置风险阈值的经验表明，在某些阈值设定上具有电厂特定属性，具有一定的弹性。</w:t>
      </w:r>
    </w:p>
    <w:p w:rsidR="0033215C" w:rsidRDefault="00AD63BF">
      <w:pPr>
        <w:pStyle w:val="afffffffffff6"/>
        <w:tabs>
          <w:tab w:val="clear" w:pos="4201"/>
          <w:tab w:val="center" w:pos="1134"/>
        </w:tabs>
        <w:ind w:firstLineChars="0"/>
      </w:pPr>
      <w:r>
        <w:rPr>
          <w:rFonts w:hint="eastAsia"/>
        </w:rPr>
        <w:t>对于不同工况，例如运行或停堆工况，</w:t>
      </w:r>
      <w:proofErr w:type="gramStart"/>
      <w:r>
        <w:rPr>
          <w:rFonts w:hint="eastAsia"/>
        </w:rPr>
        <w:t>宜制定</w:t>
      </w:r>
      <w:proofErr w:type="gramEnd"/>
      <w:r>
        <w:rPr>
          <w:rFonts w:hint="eastAsia"/>
        </w:rPr>
        <w:t>相同的风险阈值进行管理，表征核电厂风险控制的口径是一致的。</w:t>
      </w:r>
    </w:p>
    <w:p w:rsidR="0033215C" w:rsidRDefault="00AD63BF">
      <w:pPr>
        <w:pStyle w:val="afffffffffff6"/>
        <w:tabs>
          <w:tab w:val="clear" w:pos="4201"/>
          <w:tab w:val="center" w:pos="1134"/>
        </w:tabs>
        <w:ind w:firstLineChars="0"/>
      </w:pPr>
      <w:r>
        <w:rPr>
          <w:rFonts w:hint="eastAsia"/>
        </w:rPr>
        <w:t>风险阈值的设置应</w:t>
      </w:r>
      <w:proofErr w:type="gramStart"/>
      <w:r>
        <w:rPr>
          <w:rFonts w:hint="eastAsia"/>
        </w:rPr>
        <w:t>考虑全</w:t>
      </w:r>
      <w:proofErr w:type="gramEnd"/>
      <w:r>
        <w:rPr>
          <w:rFonts w:hint="eastAsia"/>
        </w:rPr>
        <w:t>范围PSA模型，至少包括内部事件、水淹、火灾、地震等。若PSA模型不全面，或者</w:t>
      </w:r>
      <w:proofErr w:type="gramStart"/>
      <w:r>
        <w:rPr>
          <w:rFonts w:hint="eastAsia"/>
        </w:rPr>
        <w:t>仅应用</w:t>
      </w:r>
      <w:proofErr w:type="gramEnd"/>
      <w:r>
        <w:rPr>
          <w:rFonts w:hint="eastAsia"/>
        </w:rPr>
        <w:t>内部事件PSA时，应考虑应用PSA范围的风险贡献比。</w:t>
      </w:r>
    </w:p>
    <w:p w:rsidR="0033215C" w:rsidRDefault="00AD63BF">
      <w:pPr>
        <w:pStyle w:val="afffffffffff6"/>
        <w:tabs>
          <w:tab w:val="clear" w:pos="4201"/>
          <w:tab w:val="center" w:pos="1134"/>
        </w:tabs>
        <w:ind w:firstLineChars="0"/>
      </w:pPr>
      <w:r>
        <w:rPr>
          <w:rFonts w:hint="eastAsia"/>
        </w:rPr>
        <w:t>风险阈值应至少划分为3个区域，并采用不同颜色区分：正常风险控制区（绿色）、需要控制风险的风险管理区（黄色）和风险不可接受区（红色）。其中风险管理区可以根据需要进一步划分为2个风险区域：中风险（黄色）、高风险（橙色），一般地一级PSA基准风险在1E-6量级左右时应用。</w:t>
      </w:r>
    </w:p>
    <w:p w:rsidR="0033215C" w:rsidRDefault="00AD63BF">
      <w:pPr>
        <w:pStyle w:val="afffffffffff6"/>
        <w:tabs>
          <w:tab w:val="clear" w:pos="4201"/>
          <w:tab w:val="center" w:pos="1134"/>
        </w:tabs>
        <w:ind w:firstLineChars="0"/>
      </w:pPr>
      <w:r>
        <w:rPr>
          <w:rFonts w:hint="eastAsia"/>
        </w:rPr>
        <w:t>一般同时使用瞬时风险、累积风险对生产计划、大修计划、异常事件等进行管理。本标准按照将瞬时风险分为4个区域、累积风险分为3个区域的方案进行说明。核电厂在制定风险阈值时不应比下述标准宽松：</w:t>
      </w:r>
    </w:p>
    <w:p w:rsidR="0033215C" w:rsidRDefault="00AD63BF">
      <w:pPr>
        <w:pStyle w:val="afff1"/>
        <w:keepNext/>
        <w:spacing w:before="156" w:after="156"/>
        <w:jc w:val="center"/>
        <w:rPr>
          <w:rFonts w:ascii="Times New Roman" w:eastAsia="宋体" w:hAnsi="Times New Roman"/>
          <w:sz w:val="21"/>
          <w:szCs w:val="21"/>
        </w:rPr>
      </w:pPr>
      <w:r>
        <w:rPr>
          <w:rFonts w:ascii="Times New Roman" w:eastAsia="宋体" w:hAnsi="Times New Roman"/>
          <w:sz w:val="21"/>
          <w:szCs w:val="21"/>
        </w:rPr>
        <w:lastRenderedPageBreak/>
        <w:t>表</w:t>
      </w:r>
      <w:r>
        <w:rPr>
          <w:rFonts w:ascii="Times New Roman" w:eastAsia="宋体" w:hAnsi="Times New Roman"/>
          <w:sz w:val="21"/>
          <w:szCs w:val="21"/>
        </w:rPr>
        <w:t xml:space="preserve"> </w:t>
      </w:r>
      <w:r>
        <w:rPr>
          <w:rFonts w:ascii="Times New Roman" w:eastAsia="宋体" w:hAnsi="Times New Roman"/>
          <w:sz w:val="21"/>
          <w:szCs w:val="21"/>
        </w:rPr>
        <w:fldChar w:fldCharType="begin"/>
      </w:r>
      <w:r>
        <w:rPr>
          <w:rFonts w:ascii="Times New Roman" w:eastAsia="宋体" w:hAnsi="Times New Roman"/>
          <w:sz w:val="21"/>
          <w:szCs w:val="21"/>
        </w:rPr>
        <w:instrText xml:space="preserve"> SEQ </w:instrText>
      </w:r>
      <w:r>
        <w:rPr>
          <w:rFonts w:ascii="Times New Roman" w:eastAsia="宋体" w:hAnsi="Times New Roman"/>
          <w:sz w:val="21"/>
          <w:szCs w:val="21"/>
        </w:rPr>
        <w:instrText>表</w:instrText>
      </w:r>
      <w:r>
        <w:rPr>
          <w:rFonts w:ascii="Times New Roman" w:eastAsia="宋体" w:hAnsi="Times New Roman"/>
          <w:sz w:val="21"/>
          <w:szCs w:val="21"/>
        </w:rPr>
        <w:instrText xml:space="preserve"> \* ARABIC </w:instrText>
      </w:r>
      <w:r>
        <w:rPr>
          <w:rFonts w:ascii="Times New Roman" w:eastAsia="宋体" w:hAnsi="Times New Roman"/>
          <w:sz w:val="21"/>
          <w:szCs w:val="21"/>
        </w:rPr>
        <w:fldChar w:fldCharType="separate"/>
      </w:r>
      <w:r>
        <w:rPr>
          <w:rFonts w:ascii="Times New Roman" w:eastAsia="宋体" w:hAnsi="Times New Roman"/>
          <w:sz w:val="21"/>
          <w:szCs w:val="21"/>
        </w:rPr>
        <w:t>1</w:t>
      </w:r>
      <w:r>
        <w:rPr>
          <w:rFonts w:ascii="Times New Roman" w:eastAsia="宋体" w:hAnsi="Times New Roman"/>
          <w:sz w:val="21"/>
          <w:szCs w:val="21"/>
        </w:rPr>
        <w:fldChar w:fldCharType="end"/>
      </w:r>
      <w:r>
        <w:rPr>
          <w:rFonts w:ascii="Times New Roman" w:eastAsia="宋体" w:hAnsi="Times New Roman"/>
          <w:sz w:val="21"/>
          <w:szCs w:val="21"/>
        </w:rPr>
        <w:t xml:space="preserve"> </w:t>
      </w:r>
      <w:r>
        <w:rPr>
          <w:rFonts w:ascii="Times New Roman" w:eastAsia="宋体" w:hAnsi="Times New Roman"/>
          <w:sz w:val="21"/>
          <w:szCs w:val="21"/>
        </w:rPr>
        <w:t>瞬时风险阈值</w:t>
      </w:r>
    </w:p>
    <w:tbl>
      <w:tblPr>
        <w:tblW w:w="0" w:type="auto"/>
        <w:jc w:val="center"/>
        <w:tblCellMar>
          <w:left w:w="0" w:type="dxa"/>
          <w:right w:w="0" w:type="dxa"/>
        </w:tblCellMar>
        <w:tblLook w:val="04A0" w:firstRow="1" w:lastRow="0" w:firstColumn="1" w:lastColumn="0" w:noHBand="0" w:noVBand="1"/>
      </w:tblPr>
      <w:tblGrid>
        <w:gridCol w:w="2580"/>
        <w:gridCol w:w="1704"/>
        <w:gridCol w:w="1723"/>
      </w:tblGrid>
      <w:tr w:rsidR="0033215C">
        <w:trPr>
          <w:trHeight w:val="397"/>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rPr>
                <w:rFonts w:asciiTheme="minorEastAsia" w:eastAsiaTheme="minorEastAsia" w:hAnsiTheme="minorEastAsia"/>
              </w:rPr>
            </w:pPr>
            <w:r>
              <w:rPr>
                <w:rFonts w:asciiTheme="minorEastAsia" w:eastAsiaTheme="minorEastAsia" w:hAnsiTheme="minorEastAsia"/>
                <w:b/>
                <w:bCs/>
              </w:rPr>
              <w:t>风险区域</w:t>
            </w:r>
          </w:p>
        </w:tc>
        <w:tc>
          <w:tcPr>
            <w:tcW w:w="170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rPr>
                <w:rFonts w:asciiTheme="minorEastAsia" w:eastAsiaTheme="minorEastAsia" w:hAnsiTheme="minorEastAsia"/>
                <w:b/>
              </w:rPr>
            </w:pPr>
            <w:r>
              <w:rPr>
                <w:rFonts w:asciiTheme="minorEastAsia" w:eastAsiaTheme="minorEastAsia" w:hAnsiTheme="minorEastAsia"/>
                <w:b/>
              </w:rPr>
              <w:t>CDF</w:t>
            </w:r>
            <w:r>
              <w:rPr>
                <w:rFonts w:asciiTheme="minorEastAsia" w:eastAsiaTheme="minorEastAsia" w:hAnsiTheme="minorEastAsia" w:hint="eastAsia"/>
              </w:rPr>
              <w:t>/</w:t>
            </w:r>
            <w:proofErr w:type="gramStart"/>
            <w:r>
              <w:rPr>
                <w:rFonts w:asciiTheme="minorEastAsia" w:eastAsiaTheme="minorEastAsia" w:hAnsiTheme="minorEastAsia" w:hint="eastAsia"/>
              </w:rPr>
              <w:t>堆年</w:t>
            </w:r>
            <w:proofErr w:type="gramEnd"/>
          </w:p>
        </w:tc>
        <w:tc>
          <w:tcPr>
            <w:tcW w:w="1723" w:type="dxa"/>
            <w:tcBorders>
              <w:top w:val="single" w:sz="8" w:space="0" w:color="000000"/>
              <w:left w:val="single" w:sz="8" w:space="0" w:color="000000"/>
              <w:bottom w:val="single" w:sz="8" w:space="0" w:color="000000"/>
              <w:right w:val="single" w:sz="8" w:space="0" w:color="000000"/>
            </w:tcBorders>
            <w:vAlign w:val="center"/>
          </w:tcPr>
          <w:p w:rsidR="0033215C" w:rsidRDefault="00AD63BF">
            <w:pPr>
              <w:spacing w:line="240" w:lineRule="auto"/>
              <w:jc w:val="center"/>
              <w:rPr>
                <w:rFonts w:asciiTheme="minorEastAsia" w:eastAsiaTheme="minorEastAsia" w:hAnsiTheme="minorEastAsia"/>
                <w:b/>
              </w:rPr>
            </w:pPr>
            <w:r>
              <w:rPr>
                <w:rFonts w:asciiTheme="minorEastAsia" w:eastAsiaTheme="minorEastAsia" w:hAnsiTheme="minorEastAsia"/>
                <w:b/>
              </w:rPr>
              <w:t>LERF</w:t>
            </w:r>
            <w:r>
              <w:rPr>
                <w:rFonts w:asciiTheme="minorEastAsia" w:eastAsiaTheme="minorEastAsia" w:hAnsiTheme="minorEastAsia" w:hint="eastAsia"/>
              </w:rPr>
              <w:t>/</w:t>
            </w:r>
            <w:proofErr w:type="gramStart"/>
            <w:r>
              <w:rPr>
                <w:rFonts w:asciiTheme="minorEastAsia" w:eastAsiaTheme="minorEastAsia" w:hAnsiTheme="minorEastAsia" w:hint="eastAsia"/>
              </w:rPr>
              <w:t>堆年</w:t>
            </w:r>
            <w:proofErr w:type="gramEnd"/>
          </w:p>
        </w:tc>
      </w:tr>
      <w:tr w:rsidR="0033215C">
        <w:trPr>
          <w:trHeight w:val="397"/>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pPr>
            <w:r>
              <w:t>风险不可接受区（红区）</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pPr>
            <w:r>
              <w:t>≥</w:t>
            </w:r>
            <w:r>
              <w:rPr>
                <w:rFonts w:hint="eastAsia"/>
              </w:rPr>
              <w:t>1</w:t>
            </w:r>
            <w:r>
              <w:t>E-4</w:t>
            </w:r>
          </w:p>
        </w:tc>
        <w:tc>
          <w:tcPr>
            <w:tcW w:w="172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w:t>
            </w:r>
          </w:p>
        </w:tc>
      </w:tr>
      <w:tr w:rsidR="0033215C">
        <w:trPr>
          <w:trHeight w:val="397"/>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pPr>
            <w:r>
              <w:t>风险管理区（</w:t>
            </w:r>
            <w:r>
              <w:rPr>
                <w:rFonts w:hint="eastAsia"/>
              </w:rPr>
              <w:t>橙</w:t>
            </w:r>
            <w:r>
              <w:t>区）</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pPr>
            <w:r>
              <w:t>≥</w:t>
            </w:r>
            <w:r>
              <w:rPr>
                <w:rFonts w:hint="eastAsia"/>
              </w:rPr>
              <w:t>1</w:t>
            </w:r>
            <w:r>
              <w:t>E-</w:t>
            </w:r>
            <w:r>
              <w:rPr>
                <w:rFonts w:hint="eastAsia"/>
              </w:rPr>
              <w:t>5</w:t>
            </w:r>
          </w:p>
        </w:tc>
        <w:tc>
          <w:tcPr>
            <w:tcW w:w="172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w:t>
            </w:r>
            <w:r>
              <w:rPr>
                <w:rFonts w:hint="eastAsia"/>
              </w:rPr>
              <w:t>1</w:t>
            </w:r>
            <w:r>
              <w:t>E-</w:t>
            </w:r>
            <w:r>
              <w:rPr>
                <w:rFonts w:hint="eastAsia"/>
              </w:rPr>
              <w:t>6</w:t>
            </w:r>
          </w:p>
        </w:tc>
      </w:tr>
      <w:tr w:rsidR="0033215C">
        <w:trPr>
          <w:trHeight w:val="397"/>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风险管理区（黄区）</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rPr>
                <w:rFonts w:ascii="Cambria Math" w:hAnsi="Cambria Math" w:cs="宋体" w:hint="eastAsia"/>
              </w:rPr>
            </w:pPr>
            <w:r>
              <w:t>≥</w:t>
            </w:r>
            <w:r>
              <w:t>两倍基准风险</w:t>
            </w:r>
          </w:p>
        </w:tc>
        <w:tc>
          <w:tcPr>
            <w:tcW w:w="172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w:t>
            </w:r>
            <w:r>
              <w:t>两倍基准风险</w:t>
            </w:r>
          </w:p>
        </w:tc>
      </w:tr>
      <w:tr w:rsidR="0033215C">
        <w:trPr>
          <w:trHeight w:val="397"/>
          <w:jc w:val="center"/>
        </w:trPr>
        <w:tc>
          <w:tcPr>
            <w:tcW w:w="2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pPr>
            <w:r>
              <w:t>正常控制区（绿区）</w:t>
            </w:r>
          </w:p>
        </w:tc>
        <w:tc>
          <w:tcPr>
            <w:tcW w:w="1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pPr>
            <w:r>
              <w:t>&lt;</w:t>
            </w:r>
            <w:r>
              <w:t>两倍基准风险</w:t>
            </w:r>
          </w:p>
        </w:tc>
        <w:tc>
          <w:tcPr>
            <w:tcW w:w="172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&lt;</w:t>
            </w:r>
            <w:r>
              <w:t>两倍基准风险</w:t>
            </w:r>
          </w:p>
        </w:tc>
      </w:tr>
    </w:tbl>
    <w:p w:rsidR="0033215C" w:rsidRDefault="00AD63BF">
      <w:pPr>
        <w:pStyle w:val="afff1"/>
        <w:keepNext/>
        <w:spacing w:before="156" w:after="156"/>
        <w:jc w:val="center"/>
        <w:rPr>
          <w:rFonts w:ascii="Times New Roman" w:eastAsia="宋体" w:hAnsi="Times New Roman"/>
          <w:sz w:val="21"/>
          <w:szCs w:val="21"/>
        </w:rPr>
      </w:pPr>
      <w:r>
        <w:rPr>
          <w:rFonts w:ascii="Times New Roman" w:eastAsia="宋体" w:hAnsi="Times New Roman"/>
          <w:sz w:val="21"/>
          <w:szCs w:val="21"/>
        </w:rPr>
        <w:t>表</w:t>
      </w:r>
      <w:r>
        <w:rPr>
          <w:rFonts w:ascii="Times New Roman" w:eastAsia="宋体" w:hAnsi="Times New Roman"/>
          <w:sz w:val="21"/>
          <w:szCs w:val="21"/>
        </w:rPr>
        <w:t xml:space="preserve"> </w:t>
      </w:r>
      <w:r>
        <w:rPr>
          <w:rFonts w:ascii="Times New Roman" w:eastAsia="宋体" w:hAnsi="Times New Roman"/>
          <w:sz w:val="21"/>
          <w:szCs w:val="21"/>
        </w:rPr>
        <w:fldChar w:fldCharType="begin"/>
      </w:r>
      <w:r>
        <w:rPr>
          <w:rFonts w:ascii="Times New Roman" w:eastAsia="宋体" w:hAnsi="Times New Roman"/>
          <w:sz w:val="21"/>
          <w:szCs w:val="21"/>
        </w:rPr>
        <w:instrText xml:space="preserve"> SEQ </w:instrText>
      </w:r>
      <w:r>
        <w:rPr>
          <w:rFonts w:ascii="Times New Roman" w:eastAsia="宋体" w:hAnsi="Times New Roman"/>
          <w:sz w:val="21"/>
          <w:szCs w:val="21"/>
        </w:rPr>
        <w:instrText>表</w:instrText>
      </w:r>
      <w:r>
        <w:rPr>
          <w:rFonts w:ascii="Times New Roman" w:eastAsia="宋体" w:hAnsi="Times New Roman"/>
          <w:sz w:val="21"/>
          <w:szCs w:val="21"/>
        </w:rPr>
        <w:instrText xml:space="preserve"> \* ARABIC </w:instrText>
      </w:r>
      <w:r>
        <w:rPr>
          <w:rFonts w:ascii="Times New Roman" w:eastAsia="宋体" w:hAnsi="Times New Roman"/>
          <w:sz w:val="21"/>
          <w:szCs w:val="21"/>
        </w:rPr>
        <w:fldChar w:fldCharType="separate"/>
      </w:r>
      <w:r>
        <w:rPr>
          <w:rFonts w:ascii="Times New Roman" w:eastAsia="宋体" w:hAnsi="Times New Roman"/>
          <w:sz w:val="21"/>
          <w:szCs w:val="21"/>
        </w:rPr>
        <w:t>2</w:t>
      </w:r>
      <w:r>
        <w:rPr>
          <w:rFonts w:ascii="Times New Roman" w:eastAsia="宋体" w:hAnsi="Times New Roman"/>
          <w:sz w:val="21"/>
          <w:szCs w:val="21"/>
        </w:rPr>
        <w:fldChar w:fldCharType="end"/>
      </w:r>
      <w:r>
        <w:rPr>
          <w:rFonts w:ascii="Times New Roman" w:eastAsia="宋体" w:hAnsi="Times New Roman"/>
          <w:sz w:val="21"/>
          <w:szCs w:val="21"/>
        </w:rPr>
        <w:t xml:space="preserve"> </w:t>
      </w:r>
      <w:r>
        <w:rPr>
          <w:rFonts w:ascii="Times New Roman" w:eastAsia="宋体" w:hAnsi="Times New Roman"/>
          <w:sz w:val="21"/>
          <w:szCs w:val="21"/>
        </w:rPr>
        <w:t>累积风险阈值</w:t>
      </w:r>
    </w:p>
    <w:tbl>
      <w:tblPr>
        <w:tblW w:w="0" w:type="auto"/>
        <w:jc w:val="center"/>
        <w:tblCellMar>
          <w:left w:w="0" w:type="dxa"/>
          <w:right w:w="0" w:type="dxa"/>
        </w:tblCellMar>
        <w:tblLook w:val="04A0" w:firstRow="1" w:lastRow="0" w:firstColumn="1" w:lastColumn="0" w:noHBand="0" w:noVBand="1"/>
      </w:tblPr>
      <w:tblGrid>
        <w:gridCol w:w="2598"/>
        <w:gridCol w:w="1047"/>
        <w:gridCol w:w="1090"/>
      </w:tblGrid>
      <w:tr w:rsidR="0033215C">
        <w:trPr>
          <w:trHeight w:val="3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rPr>
                <w:rFonts w:asciiTheme="minorEastAsia" w:eastAsiaTheme="minorEastAsia" w:hAnsiTheme="minorEastAsia"/>
                <w:b/>
                <w:bCs/>
              </w:rPr>
            </w:pPr>
            <w:r>
              <w:rPr>
                <w:rFonts w:asciiTheme="minorEastAsia" w:eastAsiaTheme="minorEastAsia" w:hAnsiTheme="minorEastAsia"/>
                <w:b/>
                <w:bCs/>
              </w:rPr>
              <w:t>风险区域</w:t>
            </w:r>
          </w:p>
        </w:tc>
        <w:tc>
          <w:tcPr>
            <w:tcW w:w="1047" w:type="dxa"/>
            <w:tcBorders>
              <w:top w:val="single" w:sz="8" w:space="0" w:color="000000"/>
              <w:left w:val="single" w:sz="8" w:space="0" w:color="000000"/>
              <w:bottom w:val="single" w:sz="8" w:space="0" w:color="000000"/>
              <w:right w:val="single" w:sz="8" w:space="0" w:color="000000"/>
            </w:tcBorders>
            <w:vAlign w:val="center"/>
          </w:tcPr>
          <w:p w:rsidR="0033215C" w:rsidRDefault="00AD63BF">
            <w:pPr>
              <w:spacing w:line="240" w:lineRule="auto"/>
              <w:jc w:val="center"/>
              <w:rPr>
                <w:rFonts w:asciiTheme="minorEastAsia" w:eastAsiaTheme="minorEastAsia" w:hAnsiTheme="minorEastAsia"/>
                <w:b/>
                <w:bCs/>
              </w:rPr>
            </w:pPr>
            <w:r>
              <w:rPr>
                <w:rFonts w:asciiTheme="minorEastAsia" w:eastAsiaTheme="minorEastAsia" w:hAnsiTheme="minorEastAsia"/>
                <w:b/>
                <w:bCs/>
              </w:rPr>
              <w:t>ICDP</w:t>
            </w:r>
          </w:p>
        </w:tc>
        <w:tc>
          <w:tcPr>
            <w:tcW w:w="10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rPr>
                <w:rFonts w:asciiTheme="minorEastAsia" w:eastAsiaTheme="minorEastAsia" w:hAnsiTheme="minorEastAsia"/>
                <w:b/>
                <w:bCs/>
              </w:rPr>
            </w:pPr>
            <w:r>
              <w:rPr>
                <w:rFonts w:asciiTheme="minorEastAsia" w:eastAsiaTheme="minorEastAsia" w:hAnsiTheme="minorEastAsia"/>
                <w:b/>
                <w:bCs/>
              </w:rPr>
              <w:t>ILERP</w:t>
            </w:r>
          </w:p>
        </w:tc>
      </w:tr>
      <w:tr w:rsidR="0033215C">
        <w:trPr>
          <w:trHeight w:val="3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pPr>
            <w:r>
              <w:t>风险不可接受区（红区）</w:t>
            </w:r>
          </w:p>
        </w:tc>
        <w:tc>
          <w:tcPr>
            <w:tcW w:w="10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w:t>
            </w:r>
            <w:r>
              <w:rPr>
                <w:rFonts w:hint="eastAsia"/>
              </w:rPr>
              <w:t>1</w:t>
            </w:r>
            <w:r>
              <w:t>E-6</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pPr>
            <w:r>
              <w:t>≥</w:t>
            </w:r>
            <w:r>
              <w:rPr>
                <w:rFonts w:hint="eastAsia"/>
              </w:rPr>
              <w:t>1</w:t>
            </w:r>
            <w:r>
              <w:t>E-7</w:t>
            </w:r>
          </w:p>
        </w:tc>
      </w:tr>
      <w:tr w:rsidR="0033215C">
        <w:trPr>
          <w:trHeight w:val="3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pPr>
            <w:r>
              <w:t>风险管理区（黄区）</w:t>
            </w:r>
          </w:p>
        </w:tc>
        <w:tc>
          <w:tcPr>
            <w:tcW w:w="1047" w:type="dxa"/>
            <w:tcBorders>
              <w:top w:val="single" w:sz="8" w:space="0" w:color="000000"/>
              <w:left w:val="single" w:sz="8" w:space="0" w:color="000000"/>
              <w:right w:val="single" w:sz="8" w:space="0" w:color="000000"/>
            </w:tcBorders>
            <w:shd w:val="clear" w:color="auto" w:fill="auto"/>
            <w:vAlign w:val="center"/>
          </w:tcPr>
          <w:p w:rsidR="0033215C" w:rsidRDefault="00AD63BF">
            <w:pPr>
              <w:spacing w:line="240" w:lineRule="auto"/>
              <w:jc w:val="center"/>
            </w:pPr>
            <w:r>
              <w:t>≥</w:t>
            </w:r>
            <w:r>
              <w:rPr>
                <w:rFonts w:hint="eastAsia"/>
              </w:rPr>
              <w:t>1</w:t>
            </w:r>
            <w:r>
              <w:t>E-7</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pPr>
            <w:r>
              <w:t>≥</w:t>
            </w:r>
            <w:r>
              <w:rPr>
                <w:rFonts w:hint="eastAsia"/>
              </w:rPr>
              <w:t>1</w:t>
            </w:r>
            <w:r>
              <w:t>E-8</w:t>
            </w:r>
          </w:p>
        </w:tc>
      </w:tr>
      <w:tr w:rsidR="0033215C">
        <w:trPr>
          <w:trHeight w:val="3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3215C" w:rsidRDefault="00AD63BF">
            <w:pPr>
              <w:spacing w:line="240" w:lineRule="auto"/>
              <w:jc w:val="center"/>
            </w:pPr>
            <w:r>
              <w:t>正常控制区（绿区）</w:t>
            </w:r>
          </w:p>
        </w:tc>
        <w:tc>
          <w:tcPr>
            <w:tcW w:w="10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33215C" w:rsidRDefault="00AD63BF">
            <w:pPr>
              <w:spacing w:line="240" w:lineRule="auto"/>
              <w:jc w:val="center"/>
            </w:pPr>
            <w:r>
              <w:t>&lt;</w:t>
            </w:r>
            <w:r>
              <w:rPr>
                <w:rFonts w:hint="eastAsia"/>
              </w:rPr>
              <w:t>1</w:t>
            </w:r>
            <w:r>
              <w:t>E-7</w:t>
            </w:r>
          </w:p>
        </w:tc>
        <w:tc>
          <w:tcPr>
            <w:tcW w:w="1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3215C" w:rsidRDefault="00AD63BF">
            <w:pPr>
              <w:spacing w:line="240" w:lineRule="auto"/>
              <w:jc w:val="center"/>
            </w:pPr>
            <w:r>
              <w:t>&lt;</w:t>
            </w:r>
            <w:r>
              <w:rPr>
                <w:rFonts w:hint="eastAsia"/>
              </w:rPr>
              <w:t>1</w:t>
            </w:r>
            <w:r>
              <w:t>E-8</w:t>
            </w:r>
          </w:p>
        </w:tc>
      </w:tr>
    </w:tbl>
    <w:p w:rsidR="0033215C" w:rsidRDefault="0033215C">
      <w:pPr>
        <w:pStyle w:val="afffffffffff6"/>
        <w:tabs>
          <w:tab w:val="clear" w:pos="4201"/>
          <w:tab w:val="center" w:pos="1134"/>
        </w:tabs>
        <w:ind w:firstLineChars="0"/>
      </w:pPr>
    </w:p>
    <w:p w:rsidR="0033215C" w:rsidRDefault="00AD63BF">
      <w:pPr>
        <w:pStyle w:val="affffff4"/>
        <w:numPr>
          <w:ilvl w:val="0"/>
          <w:numId w:val="30"/>
        </w:numPr>
        <w:spacing w:before="240" w:after="240"/>
        <w:ind w:left="0"/>
      </w:pPr>
      <w:bookmarkStart w:id="73" w:name="_Toc89355799"/>
      <w:bookmarkStart w:id="74" w:name="_Toc118293436"/>
      <w:r>
        <w:rPr>
          <w:rFonts w:hint="eastAsia"/>
        </w:rPr>
        <w:t>风险管理矩阵的确定</w:t>
      </w:r>
      <w:bookmarkEnd w:id="73"/>
      <w:bookmarkEnd w:id="74"/>
    </w:p>
    <w:p w:rsidR="0033215C" w:rsidRDefault="00AD63BF">
      <w:pPr>
        <w:pStyle w:val="affff7"/>
        <w:ind w:firstLine="420"/>
      </w:pPr>
      <w:r>
        <w:rPr>
          <w:rFonts w:hint="eastAsia"/>
        </w:rPr>
        <w:t>核电厂生产计划人员（含大修计划）与运行人员在应用配置风险管理时应加以区分，生产计划人员对全厂的生产计划进行总体风险控制，运行人员侧重于对突发事件、随机事件的风险管控。</w:t>
      </w:r>
    </w:p>
    <w:p w:rsidR="00843446" w:rsidRDefault="00843446" w:rsidP="00843446">
      <w:pPr>
        <w:pStyle w:val="affffff5"/>
        <w:numPr>
          <w:ilvl w:val="1"/>
          <w:numId w:val="30"/>
        </w:numPr>
        <w:spacing w:before="120" w:after="120"/>
        <w:ind w:left="0"/>
        <w:jc w:val="left"/>
      </w:pPr>
      <w:bookmarkStart w:id="75" w:name="_Toc72247190"/>
      <w:bookmarkStart w:id="76" w:name="_Toc80697127"/>
      <w:r w:rsidRPr="006E7957">
        <w:t>允许配置时间</w:t>
      </w:r>
      <w:bookmarkEnd w:id="75"/>
      <w:bookmarkEnd w:id="76"/>
    </w:p>
    <w:p w:rsidR="00843446" w:rsidRDefault="00843446" w:rsidP="00911346">
      <w:pPr>
        <w:pStyle w:val="affff7"/>
        <w:ind w:firstLine="420"/>
        <w:rPr>
          <w:rFonts w:ascii="Times New Roman"/>
          <w:sz w:val="24"/>
          <w:szCs w:val="24"/>
        </w:rPr>
      </w:pPr>
      <w:r w:rsidRPr="00843446">
        <w:rPr>
          <w:rFonts w:hint="eastAsia"/>
        </w:rPr>
        <w:t>采用累积风险限值计算允许配置时间，其中用风险管理区（黄区）限值计算需采取风险管理行动的时间（</w:t>
      </w:r>
      <w:r w:rsidRPr="00843446">
        <w:t>RMAT</w:t>
      </w:r>
      <w:r w:rsidRPr="00843446">
        <w:rPr>
          <w:rFonts w:hint="eastAsia"/>
        </w:rPr>
        <w:t>），在评价不可定量因素并采取了控制风险的措施后，用风险不可接受区（红区）限值计算允许配置时间（</w:t>
      </w:r>
      <w:r w:rsidRPr="00843446">
        <w:t>ACT</w:t>
      </w:r>
      <w:r w:rsidRPr="00843446">
        <w:rPr>
          <w:rFonts w:hint="eastAsia"/>
        </w:rPr>
        <w:t>）。计算原理见</w:t>
      </w:r>
      <w:r w:rsidRPr="00843446">
        <w:fldChar w:fldCharType="begin"/>
      </w:r>
      <w:r w:rsidRPr="00843446">
        <w:instrText xml:space="preserve"> </w:instrText>
      </w:r>
      <w:r w:rsidRPr="00843446">
        <w:rPr>
          <w:rFonts w:hint="eastAsia"/>
        </w:rPr>
        <w:instrText>REF _Ref78962753 \h</w:instrText>
      </w:r>
      <w:r w:rsidRPr="00843446">
        <w:instrText xml:space="preserve">  \* MERGEFORMAT </w:instrText>
      </w:r>
      <w:r w:rsidRPr="00843446">
        <w:fldChar w:fldCharType="separate"/>
      </w:r>
      <w:r w:rsidRPr="00843446">
        <w:rPr>
          <w:rFonts w:hint="eastAsia"/>
        </w:rPr>
        <w:t xml:space="preserve">图 </w:t>
      </w:r>
      <w:r w:rsidRPr="00843446">
        <w:t>4</w:t>
      </w:r>
      <w:r w:rsidRPr="00843446">
        <w:fldChar w:fldCharType="end"/>
      </w:r>
      <w:r w:rsidRPr="00843446">
        <w:rPr>
          <w:rFonts w:hint="eastAsia"/>
        </w:rPr>
        <w:t>。</w:t>
      </w:r>
      <w:r w:rsidRPr="00843446">
        <w:t>需要注意的是上述RMAT、ACT均为ICDP、ILERP</w:t>
      </w:r>
      <w:r w:rsidRPr="00843446">
        <w:rPr>
          <w:rFonts w:hint="eastAsia"/>
        </w:rPr>
        <w:t>限值</w:t>
      </w:r>
      <w:r w:rsidRPr="00843446">
        <w:t>计算结果中较小的一个</w:t>
      </w:r>
      <w:r w:rsidRPr="00843446">
        <w:rPr>
          <w:rFonts w:hint="eastAsia"/>
        </w:rPr>
        <w:t>，且</w:t>
      </w:r>
      <w:r w:rsidRPr="00843446">
        <w:t>均不能超过技术规格书要求。</w:t>
      </w:r>
    </w:p>
    <w:p w:rsidR="00843446" w:rsidRDefault="00843446" w:rsidP="00843446">
      <w:pPr>
        <w:pStyle w:val="ARISTEXT"/>
        <w:keepNext/>
        <w:jc w:val="center"/>
        <w:rPr>
          <w:rFonts w:hint="eastAsia"/>
        </w:rPr>
      </w:pPr>
      <w:r w:rsidRPr="006E7957">
        <w:rPr>
          <w:rFonts w:ascii="Times New Roman" w:hAnsi="Times New Roman" w:cs="Times New Roman"/>
        </w:rPr>
        <w:object w:dxaOrig="5990" w:dyaOrig="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214.4pt" o:ole="">
            <v:imagedata r:id="rId19" o:title=""/>
          </v:shape>
          <o:OLEObject Type="Embed" ProgID="Visio.Drawing.11" ShapeID="_x0000_i1025" DrawAspect="Content" ObjectID="_1729600890" r:id="rId20"/>
        </w:object>
      </w:r>
    </w:p>
    <w:p w:rsidR="00843446" w:rsidRPr="00D0458B" w:rsidRDefault="00843446" w:rsidP="00843446">
      <w:pPr>
        <w:pStyle w:val="afff1"/>
        <w:jc w:val="center"/>
        <w:rPr>
          <w:rFonts w:ascii="Times New Roman" w:eastAsiaTheme="minorEastAsia" w:hAnsi="Times New Roman"/>
          <w:kern w:val="0"/>
          <w:sz w:val="21"/>
          <w:szCs w:val="21"/>
          <w:lang w:val="zh-CN"/>
        </w:rPr>
      </w:pPr>
      <w:bookmarkStart w:id="77" w:name="_Ref78962753"/>
      <w:r w:rsidRPr="00D0458B">
        <w:rPr>
          <w:rFonts w:ascii="Times New Roman" w:eastAsiaTheme="minorEastAsia" w:hAnsi="Times New Roman" w:hint="eastAsia"/>
          <w:kern w:val="0"/>
          <w:sz w:val="21"/>
          <w:szCs w:val="21"/>
          <w:lang w:val="zh-CN"/>
        </w:rPr>
        <w:t>图</w:t>
      </w:r>
      <w:r w:rsidRPr="00D0458B">
        <w:rPr>
          <w:rFonts w:ascii="Times New Roman" w:eastAsiaTheme="minorEastAsia" w:hAnsi="Times New Roman" w:hint="eastAsia"/>
          <w:kern w:val="0"/>
          <w:sz w:val="21"/>
          <w:szCs w:val="21"/>
          <w:lang w:val="zh-CN"/>
        </w:rPr>
        <w:t xml:space="preserve"> </w:t>
      </w:r>
      <w:r w:rsidRPr="00D0458B">
        <w:rPr>
          <w:rFonts w:ascii="Times New Roman" w:eastAsiaTheme="minorEastAsia" w:hAnsi="Times New Roman"/>
          <w:kern w:val="0"/>
          <w:sz w:val="21"/>
          <w:szCs w:val="21"/>
          <w:lang w:val="zh-CN"/>
        </w:rPr>
        <w:fldChar w:fldCharType="begin"/>
      </w:r>
      <w:r w:rsidRPr="00D0458B">
        <w:rPr>
          <w:rFonts w:ascii="Times New Roman" w:eastAsiaTheme="minorEastAsia" w:hAnsi="Times New Roman"/>
          <w:kern w:val="0"/>
          <w:sz w:val="21"/>
          <w:szCs w:val="21"/>
          <w:lang w:val="zh-CN"/>
        </w:rPr>
        <w:instrText xml:space="preserve"> </w:instrText>
      </w:r>
      <w:r w:rsidRPr="00D0458B">
        <w:rPr>
          <w:rFonts w:ascii="Times New Roman" w:eastAsiaTheme="minorEastAsia" w:hAnsi="Times New Roman" w:hint="eastAsia"/>
          <w:kern w:val="0"/>
          <w:sz w:val="21"/>
          <w:szCs w:val="21"/>
          <w:lang w:val="zh-CN"/>
        </w:rPr>
        <w:instrText xml:space="preserve">SEQ </w:instrText>
      </w:r>
      <w:r w:rsidRPr="00D0458B">
        <w:rPr>
          <w:rFonts w:ascii="Times New Roman" w:eastAsiaTheme="minorEastAsia" w:hAnsi="Times New Roman" w:hint="eastAsia"/>
          <w:kern w:val="0"/>
          <w:sz w:val="21"/>
          <w:szCs w:val="21"/>
          <w:lang w:val="zh-CN"/>
        </w:rPr>
        <w:instrText>图</w:instrText>
      </w:r>
      <w:r w:rsidRPr="00D0458B">
        <w:rPr>
          <w:rFonts w:ascii="Times New Roman" w:eastAsiaTheme="minorEastAsia" w:hAnsi="Times New Roman" w:hint="eastAsia"/>
          <w:kern w:val="0"/>
          <w:sz w:val="21"/>
          <w:szCs w:val="21"/>
          <w:lang w:val="zh-CN"/>
        </w:rPr>
        <w:instrText xml:space="preserve"> \* ARABIC</w:instrText>
      </w:r>
      <w:r w:rsidRPr="00D0458B">
        <w:rPr>
          <w:rFonts w:ascii="Times New Roman" w:eastAsiaTheme="minorEastAsia" w:hAnsi="Times New Roman"/>
          <w:kern w:val="0"/>
          <w:sz w:val="21"/>
          <w:szCs w:val="21"/>
          <w:lang w:val="zh-CN"/>
        </w:rPr>
        <w:instrText xml:space="preserve"> </w:instrText>
      </w:r>
      <w:r w:rsidRPr="00D0458B">
        <w:rPr>
          <w:rFonts w:ascii="Times New Roman" w:eastAsiaTheme="minorEastAsia" w:hAnsi="Times New Roman"/>
          <w:kern w:val="0"/>
          <w:sz w:val="21"/>
          <w:szCs w:val="21"/>
          <w:lang w:val="zh-CN"/>
        </w:rPr>
        <w:fldChar w:fldCharType="separate"/>
      </w:r>
      <w:r w:rsidR="00DF5427">
        <w:rPr>
          <w:rFonts w:ascii="Times New Roman" w:eastAsiaTheme="minorEastAsia" w:hAnsi="Times New Roman"/>
          <w:noProof/>
          <w:kern w:val="0"/>
          <w:sz w:val="21"/>
          <w:szCs w:val="21"/>
          <w:lang w:val="zh-CN"/>
        </w:rPr>
        <w:t>1</w:t>
      </w:r>
      <w:r w:rsidRPr="00D0458B">
        <w:rPr>
          <w:rFonts w:ascii="Times New Roman" w:eastAsiaTheme="minorEastAsia" w:hAnsi="Times New Roman"/>
          <w:kern w:val="0"/>
          <w:sz w:val="21"/>
          <w:szCs w:val="21"/>
          <w:lang w:val="zh-CN"/>
        </w:rPr>
        <w:fldChar w:fldCharType="end"/>
      </w:r>
      <w:bookmarkEnd w:id="77"/>
      <w:r>
        <w:rPr>
          <w:rFonts w:ascii="Times New Roman" w:eastAsiaTheme="minorEastAsia" w:hAnsi="Times New Roman" w:hint="eastAsia"/>
          <w:kern w:val="0"/>
          <w:sz w:val="21"/>
          <w:szCs w:val="21"/>
          <w:lang w:val="zh-CN"/>
        </w:rPr>
        <w:t xml:space="preserve"> </w:t>
      </w:r>
      <w:r w:rsidRPr="00D0458B">
        <w:rPr>
          <w:rFonts w:ascii="Times New Roman" w:eastAsiaTheme="minorEastAsia" w:hAnsi="Times New Roman" w:hint="eastAsia"/>
          <w:kern w:val="0"/>
          <w:sz w:val="21"/>
          <w:szCs w:val="21"/>
          <w:lang w:val="zh-CN"/>
        </w:rPr>
        <w:t>允许配置时间计算</w:t>
      </w:r>
      <w:r w:rsidRPr="00D0458B">
        <w:rPr>
          <w:rFonts w:ascii="Times New Roman" w:eastAsiaTheme="minorEastAsia" w:hAnsi="Times New Roman"/>
          <w:kern w:val="0"/>
          <w:sz w:val="21"/>
          <w:szCs w:val="21"/>
          <w:lang w:val="zh-CN"/>
        </w:rPr>
        <w:t>图</w:t>
      </w:r>
    </w:p>
    <w:p w:rsidR="00843446" w:rsidRPr="004020CD" w:rsidRDefault="00843446" w:rsidP="00843446">
      <w:pPr>
        <w:pStyle w:val="affff7"/>
        <w:ind w:firstLine="420"/>
      </w:pPr>
      <w:r w:rsidRPr="00843446">
        <w:lastRenderedPageBreak/>
        <w:fldChar w:fldCharType="begin"/>
      </w:r>
      <w:r w:rsidRPr="00843446">
        <w:instrText xml:space="preserve"> REF _Ref75191604 \h  \* MERGEFORMAT </w:instrText>
      </w:r>
      <w:r w:rsidRPr="00843446">
        <w:fldChar w:fldCharType="separate"/>
      </w:r>
      <w:r w:rsidR="00911346" w:rsidRPr="00911346">
        <w:t>图 2</w:t>
      </w:r>
      <w:r w:rsidRPr="00843446">
        <w:fldChar w:fldCharType="end"/>
      </w:r>
      <w:r w:rsidRPr="00843446">
        <w:t>显示的是当</w:t>
      </w:r>
      <w:r w:rsidRPr="00843446">
        <w:rPr>
          <w:rFonts w:hint="eastAsia"/>
        </w:rPr>
        <w:t>配置风险管理范畴内</w:t>
      </w:r>
      <w:r w:rsidRPr="00843446">
        <w:t>设备</w:t>
      </w:r>
      <w:proofErr w:type="gramStart"/>
      <w:r w:rsidRPr="00843446">
        <w:t>不</w:t>
      </w:r>
      <w:proofErr w:type="gramEnd"/>
      <w:r w:rsidRPr="00843446">
        <w:t>可用时，</w:t>
      </w:r>
      <w:r w:rsidRPr="00843446">
        <w:rPr>
          <w:rFonts w:hint="eastAsia"/>
        </w:rPr>
        <w:t>累积风险和允许配置时间</w:t>
      </w:r>
      <w:r w:rsidRPr="00843446">
        <w:t>随时间变化</w:t>
      </w:r>
      <w:r w:rsidRPr="00843446">
        <w:rPr>
          <w:rFonts w:hint="eastAsia"/>
        </w:rPr>
        <w:t>的计算原理图</w:t>
      </w:r>
      <w:r w:rsidR="00911346">
        <w:rPr>
          <w:rFonts w:hint="eastAsia"/>
        </w:rPr>
        <w:t>，更多地适用运行配置风险管理</w:t>
      </w:r>
      <w:r w:rsidRPr="00843446">
        <w:t>。</w:t>
      </w:r>
      <w:r w:rsidR="00911346" w:rsidRPr="00843446">
        <w:t>在零时刻，设备A由于计划维修开始</w:t>
      </w:r>
      <w:proofErr w:type="gramStart"/>
      <w:r w:rsidR="00911346" w:rsidRPr="00843446">
        <w:t>不</w:t>
      </w:r>
      <w:proofErr w:type="gramEnd"/>
      <w:r w:rsidR="00911346" w:rsidRPr="00843446">
        <w:t>可用，在制定计划时已判断设备A无法在RMAT即T3时刻</w:t>
      </w:r>
      <w:proofErr w:type="gramStart"/>
      <w:r w:rsidR="00911346" w:rsidRPr="00843446">
        <w:t>前复役并</w:t>
      </w:r>
      <w:proofErr w:type="gramEnd"/>
      <w:r w:rsidR="00911346" w:rsidRPr="00843446">
        <w:t>制定有风险管理措施RMA，设备A的维修时间延长至T3的10倍；在T1时刻发生紧急事件（非计划）经分析为第二个设备B（TS设备）</w:t>
      </w:r>
      <w:proofErr w:type="gramStart"/>
      <w:r w:rsidR="00911346" w:rsidRPr="00843446">
        <w:t>不</w:t>
      </w:r>
      <w:proofErr w:type="gramEnd"/>
      <w:r w:rsidR="00911346" w:rsidRPr="00843446">
        <w:t>可用导致进入LCO，则在1个小时内完成配置风险评价得到新的RMAT和ACT，T2为RMAT，T5为ACT；若预判设备B无法在T2</w:t>
      </w:r>
      <w:proofErr w:type="gramStart"/>
      <w:r w:rsidR="00911346" w:rsidRPr="00843446">
        <w:t>时刻前复役</w:t>
      </w:r>
      <w:proofErr w:type="gramEnd"/>
      <w:r w:rsidR="00911346" w:rsidRPr="00843446">
        <w:t>，应</w:t>
      </w:r>
      <w:r w:rsidR="00911346" w:rsidRPr="00843446">
        <w:rPr>
          <w:rFonts w:hint="eastAsia"/>
        </w:rPr>
        <w:t>在T2之前的生产例会/大修例会上进行讨论并制定</w:t>
      </w:r>
      <w:r w:rsidR="00911346" w:rsidRPr="00843446">
        <w:t>RMA，可将维修时间延长至T5；T4时刻设备A复役，则需重新计算ACT为T6。设备B恢复可用后（即无TS设备</w:t>
      </w:r>
      <w:proofErr w:type="gramStart"/>
      <w:r w:rsidR="00911346" w:rsidRPr="00843446">
        <w:t>不</w:t>
      </w:r>
      <w:proofErr w:type="gramEnd"/>
      <w:r w:rsidR="00911346" w:rsidRPr="00843446">
        <w:t>可用时）退出运行配置风险管理。</w:t>
      </w:r>
    </w:p>
    <w:p w:rsidR="00843446" w:rsidRPr="006E7957" w:rsidRDefault="00843446" w:rsidP="00843446">
      <w:pPr>
        <w:pStyle w:val="ARISTEXT"/>
        <w:jc w:val="center"/>
        <w:rPr>
          <w:rFonts w:ascii="Times New Roman" w:hAnsi="Times New Roman" w:cs="Times New Roman"/>
          <w:lang w:val="zh-CN"/>
        </w:rPr>
      </w:pPr>
      <w:r>
        <w:rPr>
          <w:rFonts w:ascii="Times New Roman" w:hAnsi="Times New Roman" w:cs="Times New Roman"/>
          <w:lang w:val="zh-CN"/>
        </w:rPr>
        <w:object w:dxaOrig="6957" w:dyaOrig="6162">
          <v:shape id="_x0000_i1026" type="#_x0000_t75" style="width:260.05pt;height:231.05pt" o:ole="">
            <v:imagedata r:id="rId21" o:title=""/>
          </v:shape>
          <o:OLEObject Type="Embed" ProgID="Visio.Drawing.11" ShapeID="_x0000_i1026" DrawAspect="Content" ObjectID="_1729600891" r:id="rId22"/>
        </w:object>
      </w:r>
    </w:p>
    <w:p w:rsidR="00843446" w:rsidRPr="00843446" w:rsidRDefault="00843446" w:rsidP="00911346">
      <w:pPr>
        <w:pStyle w:val="ARISTEXT"/>
        <w:spacing w:before="120" w:after="120"/>
        <w:jc w:val="center"/>
        <w:rPr>
          <w:rFonts w:ascii="宋体" w:hAnsi="Times New Roman" w:cs="Times New Roman"/>
          <w:szCs w:val="20"/>
        </w:rPr>
      </w:pPr>
      <w:bookmarkStart w:id="78" w:name="_Ref75191604"/>
      <w:r w:rsidRPr="006E7957">
        <w:rPr>
          <w:rFonts w:ascii="Times New Roman" w:eastAsiaTheme="minorEastAsia" w:hAnsi="Times New Roman" w:cs="Times New Roman"/>
          <w:lang w:val="zh-CN"/>
        </w:rPr>
        <w:t>图</w:t>
      </w:r>
      <w:r w:rsidRPr="006E7957">
        <w:rPr>
          <w:rFonts w:ascii="Times New Roman" w:eastAsiaTheme="minorEastAsia" w:hAnsi="Times New Roman" w:cs="Times New Roman"/>
          <w:lang w:val="zh-CN"/>
        </w:rPr>
        <w:t xml:space="preserve"> </w:t>
      </w:r>
      <w:r w:rsidRPr="006E7957">
        <w:rPr>
          <w:rFonts w:ascii="Times New Roman" w:eastAsiaTheme="minorEastAsia" w:hAnsi="Times New Roman" w:cs="Times New Roman"/>
          <w:lang w:val="zh-CN"/>
        </w:rPr>
        <w:fldChar w:fldCharType="begin"/>
      </w:r>
      <w:r w:rsidRPr="006E7957">
        <w:rPr>
          <w:rFonts w:ascii="Times New Roman" w:eastAsiaTheme="minorEastAsia" w:hAnsi="Times New Roman" w:cs="Times New Roman"/>
          <w:lang w:val="zh-CN"/>
        </w:rPr>
        <w:instrText xml:space="preserve"> SEQ </w:instrText>
      </w:r>
      <w:r w:rsidRPr="006E7957">
        <w:rPr>
          <w:rFonts w:ascii="Times New Roman" w:eastAsiaTheme="minorEastAsia" w:hAnsi="Times New Roman" w:cs="Times New Roman"/>
          <w:lang w:val="zh-CN"/>
        </w:rPr>
        <w:instrText>图</w:instrText>
      </w:r>
      <w:r w:rsidRPr="006E7957">
        <w:rPr>
          <w:rFonts w:ascii="Times New Roman" w:eastAsiaTheme="minorEastAsia" w:hAnsi="Times New Roman" w:cs="Times New Roman"/>
          <w:lang w:val="zh-CN"/>
        </w:rPr>
        <w:instrText xml:space="preserve"> \* ARABIC </w:instrText>
      </w:r>
      <w:r w:rsidRPr="006E7957">
        <w:rPr>
          <w:rFonts w:ascii="Times New Roman" w:eastAsiaTheme="minorEastAsia" w:hAnsi="Times New Roman" w:cs="Times New Roman"/>
          <w:lang w:val="zh-CN"/>
        </w:rPr>
        <w:fldChar w:fldCharType="separate"/>
      </w:r>
      <w:r w:rsidR="00DF5427">
        <w:rPr>
          <w:rFonts w:ascii="Times New Roman" w:eastAsiaTheme="minorEastAsia" w:hAnsi="Times New Roman" w:cs="Times New Roman"/>
          <w:noProof/>
          <w:lang w:val="zh-CN"/>
        </w:rPr>
        <w:t>2</w:t>
      </w:r>
      <w:r w:rsidRPr="006E7957">
        <w:rPr>
          <w:rFonts w:ascii="Times New Roman" w:eastAsiaTheme="minorEastAsia" w:hAnsi="Times New Roman" w:cs="Times New Roman"/>
          <w:lang w:val="zh-CN"/>
        </w:rPr>
        <w:fldChar w:fldCharType="end"/>
      </w:r>
      <w:bookmarkEnd w:id="78"/>
      <w:r w:rsidRPr="006E7957">
        <w:rPr>
          <w:rFonts w:ascii="Times New Roman" w:eastAsiaTheme="minorEastAsia" w:hAnsi="Times New Roman" w:cs="Times New Roman"/>
          <w:lang w:val="zh-CN"/>
        </w:rPr>
        <w:t xml:space="preserve"> </w:t>
      </w:r>
      <w:r>
        <w:rPr>
          <w:rFonts w:ascii="Times New Roman" w:eastAsiaTheme="minorEastAsia" w:hAnsi="Times New Roman" w:cs="Times New Roman" w:hint="eastAsia"/>
          <w:lang w:val="zh-CN"/>
        </w:rPr>
        <w:t>设备</w:t>
      </w:r>
      <w:proofErr w:type="gramStart"/>
      <w:r>
        <w:rPr>
          <w:rFonts w:ascii="Times New Roman" w:eastAsiaTheme="minorEastAsia" w:hAnsi="Times New Roman" w:cs="Times New Roman" w:hint="eastAsia"/>
          <w:lang w:val="zh-CN"/>
        </w:rPr>
        <w:t>不</w:t>
      </w:r>
      <w:proofErr w:type="gramEnd"/>
      <w:r>
        <w:rPr>
          <w:rFonts w:ascii="Times New Roman" w:eastAsiaTheme="minorEastAsia" w:hAnsi="Times New Roman" w:cs="Times New Roman" w:hint="eastAsia"/>
          <w:lang w:val="zh-CN"/>
        </w:rPr>
        <w:t>可用时累积风险和</w:t>
      </w:r>
      <w:r w:rsidRPr="006E7957">
        <w:rPr>
          <w:rFonts w:ascii="Times New Roman" w:eastAsiaTheme="minorEastAsia" w:hAnsi="Times New Roman" w:cs="Times New Roman"/>
          <w:lang w:val="zh-CN"/>
        </w:rPr>
        <w:t>允许配置时间</w:t>
      </w:r>
      <w:r w:rsidRPr="006E7957">
        <w:rPr>
          <w:rFonts w:ascii="Times New Roman" w:eastAsiaTheme="minorEastAsia" w:hAnsi="Times New Roman" w:cs="Times New Roman"/>
        </w:rPr>
        <w:t>计算图</w:t>
      </w:r>
    </w:p>
    <w:p w:rsidR="00F81A51" w:rsidRPr="00843446" w:rsidRDefault="00F81A51">
      <w:pPr>
        <w:pStyle w:val="affff7"/>
        <w:ind w:firstLine="420"/>
      </w:pPr>
    </w:p>
    <w:p w:rsidR="0033215C" w:rsidRDefault="00AD63BF">
      <w:pPr>
        <w:pStyle w:val="affffff5"/>
        <w:numPr>
          <w:ilvl w:val="1"/>
          <w:numId w:val="30"/>
        </w:numPr>
        <w:spacing w:before="120" w:after="120"/>
        <w:ind w:left="0"/>
        <w:jc w:val="left"/>
      </w:pPr>
      <w:bookmarkStart w:id="79" w:name="_Toc80697126"/>
      <w:bookmarkStart w:id="80" w:name="_Toc89355800"/>
      <w:bookmarkStart w:id="81" w:name="_Toc72247189"/>
      <w:r>
        <w:t>运行配置风险管理</w:t>
      </w:r>
      <w:bookmarkEnd w:id="79"/>
      <w:bookmarkEnd w:id="80"/>
      <w:bookmarkEnd w:id="81"/>
    </w:p>
    <w:p w:rsidR="0033215C" w:rsidRDefault="00AD63BF">
      <w:pPr>
        <w:pStyle w:val="afffffffffff6"/>
        <w:tabs>
          <w:tab w:val="center" w:pos="1134"/>
        </w:tabs>
      </w:pPr>
      <w:r>
        <w:rPr>
          <w:rFonts w:hint="eastAsia"/>
        </w:rPr>
        <w:t>运行风险管理矩阵主要针对随机</w:t>
      </w:r>
      <w:proofErr w:type="gramStart"/>
      <w:r>
        <w:rPr>
          <w:rFonts w:hint="eastAsia"/>
        </w:rPr>
        <w:t>不</w:t>
      </w:r>
      <w:proofErr w:type="gramEnd"/>
      <w:r>
        <w:rPr>
          <w:rFonts w:hint="eastAsia"/>
        </w:rPr>
        <w:t>可用事件，</w:t>
      </w:r>
      <w:r>
        <w:t>适用于</w:t>
      </w:r>
      <w:r>
        <w:rPr>
          <w:rFonts w:hint="eastAsia"/>
        </w:rPr>
        <w:t>运行、低功率、热态等冷态之上的工况，其进入与退出条件：当电厂发生非计划的TS设备（PSA建模</w:t>
      </w:r>
      <w:r w:rsidR="004D24A6">
        <w:rPr>
          <w:rFonts w:hint="eastAsia"/>
        </w:rPr>
        <w:t>，且可能触发技术规格书条款的设备</w:t>
      </w:r>
      <w:r>
        <w:rPr>
          <w:rFonts w:hint="eastAsia"/>
        </w:rPr>
        <w:t>）</w:t>
      </w:r>
      <w:proofErr w:type="gramStart"/>
      <w:r>
        <w:rPr>
          <w:rFonts w:hint="eastAsia"/>
        </w:rPr>
        <w:t>不</w:t>
      </w:r>
      <w:proofErr w:type="gramEnd"/>
      <w:r>
        <w:rPr>
          <w:rFonts w:hint="eastAsia"/>
        </w:rPr>
        <w:t>可用进入技术规格</w:t>
      </w:r>
      <w:proofErr w:type="gramStart"/>
      <w:r>
        <w:rPr>
          <w:rFonts w:hint="eastAsia"/>
        </w:rPr>
        <w:t>书运行</w:t>
      </w:r>
      <w:proofErr w:type="gramEnd"/>
      <w:r>
        <w:rPr>
          <w:rFonts w:hint="eastAsia"/>
        </w:rPr>
        <w:t>限制条件（LCO），并导致瞬时风险进入风险管理区或风险不可接受区时进入风险管理矩阵的相应风险区域；当所有TS设备恢复可用时退出风险管理矩阵的要求。</w:t>
      </w:r>
    </w:p>
    <w:p w:rsidR="0033215C" w:rsidRDefault="00AD63BF">
      <w:pPr>
        <w:pStyle w:val="afff1"/>
        <w:keepNext/>
        <w:spacing w:before="156" w:after="156"/>
        <w:jc w:val="center"/>
        <w:rPr>
          <w:rFonts w:ascii="Times New Roman" w:eastAsia="宋体" w:hAnsi="Times New Roman"/>
          <w:sz w:val="21"/>
          <w:szCs w:val="21"/>
        </w:rPr>
      </w:pPr>
      <w:r>
        <w:rPr>
          <w:rFonts w:ascii="Times New Roman" w:eastAsia="宋体" w:hAnsi="Times New Roman"/>
          <w:sz w:val="21"/>
          <w:szCs w:val="21"/>
        </w:rPr>
        <w:t>表</w:t>
      </w:r>
      <w:r>
        <w:rPr>
          <w:rFonts w:ascii="Times New Roman" w:eastAsia="宋体" w:hAnsi="Times New Roman"/>
          <w:sz w:val="21"/>
          <w:szCs w:val="21"/>
        </w:rPr>
        <w:t xml:space="preserve"> </w:t>
      </w:r>
      <w:r>
        <w:rPr>
          <w:rFonts w:ascii="Times New Roman" w:eastAsia="宋体" w:hAnsi="Times New Roman"/>
          <w:sz w:val="21"/>
          <w:szCs w:val="21"/>
        </w:rPr>
        <w:fldChar w:fldCharType="begin"/>
      </w:r>
      <w:r>
        <w:rPr>
          <w:rFonts w:ascii="Times New Roman" w:eastAsia="宋体" w:hAnsi="Times New Roman"/>
          <w:sz w:val="21"/>
          <w:szCs w:val="21"/>
        </w:rPr>
        <w:instrText xml:space="preserve"> SEQ </w:instrText>
      </w:r>
      <w:r>
        <w:rPr>
          <w:rFonts w:ascii="Times New Roman" w:eastAsia="宋体" w:hAnsi="Times New Roman"/>
          <w:sz w:val="21"/>
          <w:szCs w:val="21"/>
        </w:rPr>
        <w:instrText>表</w:instrText>
      </w:r>
      <w:r>
        <w:rPr>
          <w:rFonts w:ascii="Times New Roman" w:eastAsia="宋体" w:hAnsi="Times New Roman"/>
          <w:sz w:val="21"/>
          <w:szCs w:val="21"/>
        </w:rPr>
        <w:instrText xml:space="preserve"> \* ARABIC </w:instrText>
      </w:r>
      <w:r>
        <w:rPr>
          <w:rFonts w:ascii="Times New Roman" w:eastAsia="宋体" w:hAnsi="Times New Roman"/>
          <w:sz w:val="21"/>
          <w:szCs w:val="21"/>
        </w:rPr>
        <w:fldChar w:fldCharType="separate"/>
      </w:r>
      <w:r>
        <w:rPr>
          <w:rFonts w:ascii="Times New Roman" w:eastAsia="宋体" w:hAnsi="Times New Roman"/>
          <w:sz w:val="21"/>
          <w:szCs w:val="21"/>
        </w:rPr>
        <w:t>3</w:t>
      </w:r>
      <w:r>
        <w:rPr>
          <w:rFonts w:ascii="Times New Roman" w:eastAsia="宋体" w:hAnsi="Times New Roman"/>
          <w:sz w:val="21"/>
          <w:szCs w:val="21"/>
        </w:rPr>
        <w:fldChar w:fldCharType="end"/>
      </w:r>
      <w:r>
        <w:rPr>
          <w:rFonts w:ascii="Times New Roman" w:eastAsia="宋体" w:hAnsi="Times New Roman"/>
          <w:sz w:val="21"/>
          <w:szCs w:val="21"/>
        </w:rPr>
        <w:t xml:space="preserve"> </w:t>
      </w:r>
      <w:r>
        <w:rPr>
          <w:rFonts w:ascii="Times New Roman" w:eastAsia="宋体" w:hAnsi="Times New Roman"/>
          <w:sz w:val="21"/>
          <w:szCs w:val="21"/>
        </w:rPr>
        <w:t>运行（随机</w:t>
      </w:r>
      <w:proofErr w:type="gramStart"/>
      <w:r>
        <w:rPr>
          <w:rFonts w:ascii="Times New Roman" w:eastAsia="宋体" w:hAnsi="Times New Roman"/>
          <w:sz w:val="21"/>
          <w:szCs w:val="21"/>
        </w:rPr>
        <w:t>不</w:t>
      </w:r>
      <w:proofErr w:type="gramEnd"/>
      <w:r>
        <w:rPr>
          <w:rFonts w:ascii="Times New Roman" w:eastAsia="宋体" w:hAnsi="Times New Roman"/>
          <w:sz w:val="21"/>
          <w:szCs w:val="21"/>
        </w:rPr>
        <w:t>可用）风险管理矩阵</w:t>
      </w:r>
    </w:p>
    <w:tbl>
      <w:tblPr>
        <w:tblW w:w="7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5977"/>
      </w:tblGrid>
      <w:tr w:rsidR="0033215C">
        <w:trPr>
          <w:trHeight w:val="398"/>
          <w:jc w:val="center"/>
        </w:trPr>
        <w:tc>
          <w:tcPr>
            <w:tcW w:w="1727" w:type="dxa"/>
            <w:vAlign w:val="center"/>
          </w:tcPr>
          <w:p w:rsidR="0033215C" w:rsidRDefault="00AD63BF">
            <w:pPr>
              <w:pStyle w:val="12"/>
              <w:ind w:left="0"/>
              <w:jc w:val="center"/>
              <w:rPr>
                <w:b/>
                <w:sz w:val="21"/>
                <w:szCs w:val="21"/>
              </w:rPr>
            </w:pPr>
            <w:r>
              <w:rPr>
                <w:b/>
                <w:sz w:val="21"/>
                <w:szCs w:val="21"/>
              </w:rPr>
              <w:t>风险区域</w:t>
            </w:r>
          </w:p>
        </w:tc>
        <w:tc>
          <w:tcPr>
            <w:tcW w:w="5977" w:type="dxa"/>
            <w:vAlign w:val="center"/>
          </w:tcPr>
          <w:p w:rsidR="0033215C" w:rsidRDefault="00AD63BF">
            <w:pPr>
              <w:pStyle w:val="12"/>
              <w:ind w:left="0"/>
              <w:jc w:val="center"/>
              <w:rPr>
                <w:b/>
                <w:sz w:val="21"/>
                <w:szCs w:val="21"/>
              </w:rPr>
            </w:pPr>
            <w:r>
              <w:rPr>
                <w:b/>
                <w:sz w:val="21"/>
                <w:szCs w:val="21"/>
              </w:rPr>
              <w:t>配置风险管理行动</w:t>
            </w:r>
          </w:p>
        </w:tc>
      </w:tr>
      <w:tr w:rsidR="0033215C">
        <w:trPr>
          <w:trHeight w:val="700"/>
          <w:jc w:val="center"/>
        </w:trPr>
        <w:tc>
          <w:tcPr>
            <w:tcW w:w="1727" w:type="dxa"/>
            <w:vAlign w:val="center"/>
          </w:tcPr>
          <w:p w:rsidR="0033215C" w:rsidRDefault="00AD63BF">
            <w:pPr>
              <w:pStyle w:val="12"/>
              <w:spacing w:before="0" w:after="0"/>
              <w:ind w:left="0"/>
              <w:jc w:val="center"/>
              <w:rPr>
                <w:sz w:val="21"/>
                <w:szCs w:val="21"/>
              </w:rPr>
            </w:pPr>
            <w:r>
              <w:rPr>
                <w:sz w:val="21"/>
                <w:szCs w:val="21"/>
              </w:rPr>
              <w:t>风险不可接受区</w:t>
            </w:r>
          </w:p>
          <w:p w:rsidR="0033215C" w:rsidRDefault="00AD63BF">
            <w:pPr>
              <w:pStyle w:val="12"/>
              <w:spacing w:before="0" w:after="0"/>
              <w:ind w:left="0"/>
              <w:jc w:val="center"/>
              <w:rPr>
                <w:sz w:val="21"/>
                <w:szCs w:val="21"/>
              </w:rPr>
            </w:pPr>
            <w:r>
              <w:rPr>
                <w:sz w:val="21"/>
                <w:szCs w:val="21"/>
              </w:rPr>
              <w:t>（红区）</w:t>
            </w:r>
          </w:p>
        </w:tc>
        <w:tc>
          <w:tcPr>
            <w:tcW w:w="5977" w:type="dxa"/>
            <w:vAlign w:val="center"/>
          </w:tcPr>
          <w:p w:rsidR="0033215C" w:rsidRDefault="00AD63BF">
            <w:pPr>
              <w:pStyle w:val="12"/>
              <w:numPr>
                <w:ilvl w:val="0"/>
                <w:numId w:val="34"/>
              </w:numPr>
              <w:spacing w:before="0" w:after="0"/>
              <w:rPr>
                <w:sz w:val="21"/>
                <w:szCs w:val="21"/>
              </w:rPr>
            </w:pPr>
            <w:r>
              <w:rPr>
                <w:rFonts w:hint="eastAsia"/>
                <w:sz w:val="21"/>
                <w:szCs w:val="21"/>
              </w:rPr>
              <w:t>缺陷按</w:t>
            </w:r>
            <w:r>
              <w:rPr>
                <w:rFonts w:hint="eastAsia"/>
                <w:sz w:val="21"/>
                <w:szCs w:val="21"/>
              </w:rPr>
              <w:t>0</w:t>
            </w:r>
            <w:r>
              <w:rPr>
                <w:rFonts w:hint="eastAsia"/>
                <w:sz w:val="21"/>
                <w:szCs w:val="21"/>
              </w:rPr>
              <w:t>级响应。</w:t>
            </w:r>
          </w:p>
          <w:p w:rsidR="0033215C" w:rsidRDefault="00AD63BF">
            <w:pPr>
              <w:pStyle w:val="12"/>
              <w:numPr>
                <w:ilvl w:val="0"/>
                <w:numId w:val="34"/>
              </w:numPr>
              <w:spacing w:before="0" w:after="0"/>
              <w:rPr>
                <w:sz w:val="21"/>
                <w:szCs w:val="21"/>
              </w:rPr>
            </w:pPr>
            <w:r>
              <w:rPr>
                <w:sz w:val="21"/>
                <w:szCs w:val="21"/>
              </w:rPr>
              <w:t>启动</w:t>
            </w:r>
            <w:r>
              <w:rPr>
                <w:rFonts w:hint="eastAsia"/>
                <w:sz w:val="21"/>
                <w:szCs w:val="21"/>
              </w:rPr>
              <w:t>生产待命进行</w:t>
            </w:r>
            <w:r>
              <w:rPr>
                <w:sz w:val="21"/>
                <w:szCs w:val="21"/>
              </w:rPr>
              <w:t>决策，</w:t>
            </w:r>
            <w:r>
              <w:rPr>
                <w:rFonts w:hint="eastAsia"/>
                <w:sz w:val="21"/>
                <w:szCs w:val="21"/>
              </w:rPr>
              <w:t>立即采取行动降低风险，若机组处于功率运行状态，且经确认机组配置风险处于红区时，则需要立即停堆后撤，将机组置于可接受的风险水平。</w:t>
            </w:r>
            <w:r>
              <w:rPr>
                <w:sz w:val="21"/>
                <w:szCs w:val="21"/>
                <w:vertAlign w:val="superscript"/>
              </w:rPr>
              <w:t>[</w:t>
            </w:r>
            <w:r>
              <w:rPr>
                <w:sz w:val="21"/>
                <w:szCs w:val="21"/>
                <w:vertAlign w:val="superscript"/>
              </w:rPr>
              <w:t>注</w:t>
            </w:r>
            <w:r>
              <w:rPr>
                <w:sz w:val="21"/>
                <w:szCs w:val="21"/>
                <w:vertAlign w:val="superscript"/>
              </w:rPr>
              <w:t>]</w:t>
            </w:r>
          </w:p>
        </w:tc>
      </w:tr>
      <w:tr w:rsidR="0033215C">
        <w:trPr>
          <w:trHeight w:val="700"/>
          <w:jc w:val="center"/>
        </w:trPr>
        <w:tc>
          <w:tcPr>
            <w:tcW w:w="1727" w:type="dxa"/>
            <w:vAlign w:val="center"/>
          </w:tcPr>
          <w:p w:rsidR="0033215C" w:rsidRDefault="00AD63BF">
            <w:pPr>
              <w:pStyle w:val="12"/>
              <w:spacing w:before="0" w:after="0"/>
              <w:ind w:left="0"/>
              <w:jc w:val="center"/>
              <w:rPr>
                <w:sz w:val="21"/>
                <w:szCs w:val="21"/>
              </w:rPr>
            </w:pPr>
            <w:r>
              <w:rPr>
                <w:sz w:val="21"/>
                <w:szCs w:val="21"/>
              </w:rPr>
              <w:t>风险管理区</w:t>
            </w:r>
          </w:p>
          <w:p w:rsidR="0033215C" w:rsidRDefault="00AD63BF">
            <w:pPr>
              <w:pStyle w:val="12"/>
              <w:spacing w:before="0" w:after="0"/>
              <w:ind w:left="0"/>
              <w:jc w:val="center"/>
              <w:rPr>
                <w:sz w:val="21"/>
                <w:szCs w:val="21"/>
              </w:rPr>
            </w:pPr>
            <w:r>
              <w:rPr>
                <w:sz w:val="21"/>
                <w:szCs w:val="21"/>
              </w:rPr>
              <w:t>（</w:t>
            </w:r>
            <w:r>
              <w:rPr>
                <w:rFonts w:hint="eastAsia"/>
                <w:sz w:val="21"/>
                <w:szCs w:val="21"/>
              </w:rPr>
              <w:t>橙</w:t>
            </w:r>
            <w:r>
              <w:rPr>
                <w:sz w:val="21"/>
                <w:szCs w:val="21"/>
              </w:rPr>
              <w:t>区）</w:t>
            </w:r>
          </w:p>
        </w:tc>
        <w:tc>
          <w:tcPr>
            <w:tcW w:w="5977" w:type="dxa"/>
            <w:vAlign w:val="center"/>
          </w:tcPr>
          <w:p w:rsidR="0033215C" w:rsidRDefault="00AD63BF">
            <w:pPr>
              <w:pStyle w:val="12"/>
              <w:numPr>
                <w:ilvl w:val="0"/>
                <w:numId w:val="35"/>
              </w:numPr>
              <w:spacing w:before="0" w:after="0"/>
              <w:rPr>
                <w:sz w:val="21"/>
                <w:szCs w:val="21"/>
              </w:rPr>
            </w:pPr>
            <w:r>
              <w:rPr>
                <w:rFonts w:hint="eastAsia"/>
                <w:sz w:val="21"/>
                <w:szCs w:val="21"/>
              </w:rPr>
              <w:t>缺陷按</w:t>
            </w:r>
            <w:r>
              <w:rPr>
                <w:rFonts w:hint="eastAsia"/>
                <w:sz w:val="21"/>
                <w:szCs w:val="21"/>
              </w:rPr>
              <w:t>0</w:t>
            </w:r>
            <w:r>
              <w:rPr>
                <w:rFonts w:hint="eastAsia"/>
                <w:sz w:val="21"/>
                <w:szCs w:val="21"/>
              </w:rPr>
              <w:t>级响应。</w:t>
            </w:r>
          </w:p>
          <w:p w:rsidR="0033215C" w:rsidRDefault="00AD63BF">
            <w:pPr>
              <w:pStyle w:val="12"/>
              <w:numPr>
                <w:ilvl w:val="0"/>
                <w:numId w:val="35"/>
              </w:numPr>
              <w:spacing w:before="0" w:after="0"/>
              <w:rPr>
                <w:sz w:val="21"/>
                <w:szCs w:val="21"/>
              </w:rPr>
            </w:pPr>
            <w:r>
              <w:rPr>
                <w:sz w:val="21"/>
                <w:szCs w:val="21"/>
              </w:rPr>
              <w:t>启动</w:t>
            </w:r>
            <w:r>
              <w:rPr>
                <w:rFonts w:hint="eastAsia"/>
                <w:sz w:val="21"/>
                <w:szCs w:val="21"/>
              </w:rPr>
              <w:t>紧</w:t>
            </w:r>
            <w:r>
              <w:rPr>
                <w:sz w:val="21"/>
                <w:szCs w:val="21"/>
              </w:rPr>
              <w:t>急消缺</w:t>
            </w:r>
            <w:r>
              <w:rPr>
                <w:rFonts w:hint="eastAsia"/>
                <w:sz w:val="21"/>
                <w:szCs w:val="21"/>
              </w:rPr>
              <w:t>流程</w:t>
            </w:r>
            <w:r>
              <w:rPr>
                <w:sz w:val="21"/>
                <w:szCs w:val="21"/>
              </w:rPr>
              <w:t>，制定并实施风险管理措施（</w:t>
            </w:r>
            <w:r>
              <w:rPr>
                <w:sz w:val="21"/>
                <w:szCs w:val="21"/>
              </w:rPr>
              <w:t>RMA</w:t>
            </w:r>
            <w:r>
              <w:rPr>
                <w:sz w:val="21"/>
                <w:szCs w:val="21"/>
              </w:rPr>
              <w:t>）。</w:t>
            </w:r>
          </w:p>
          <w:p w:rsidR="0033215C" w:rsidRDefault="00AD63BF">
            <w:pPr>
              <w:pStyle w:val="12"/>
              <w:numPr>
                <w:ilvl w:val="0"/>
                <w:numId w:val="35"/>
              </w:numPr>
              <w:spacing w:before="0" w:after="0"/>
              <w:rPr>
                <w:sz w:val="21"/>
                <w:szCs w:val="21"/>
              </w:rPr>
            </w:pPr>
            <w:r>
              <w:rPr>
                <w:sz w:val="21"/>
                <w:szCs w:val="21"/>
              </w:rPr>
              <w:t>维修时间不超过累积风险允许配置时间（</w:t>
            </w:r>
            <w:r>
              <w:rPr>
                <w:sz w:val="21"/>
                <w:szCs w:val="21"/>
              </w:rPr>
              <w:t>ACT</w:t>
            </w:r>
            <w:r>
              <w:rPr>
                <w:sz w:val="21"/>
                <w:szCs w:val="21"/>
              </w:rPr>
              <w:t>）。</w:t>
            </w:r>
          </w:p>
        </w:tc>
      </w:tr>
      <w:tr w:rsidR="0033215C">
        <w:trPr>
          <w:trHeight w:val="139"/>
          <w:jc w:val="center"/>
        </w:trPr>
        <w:tc>
          <w:tcPr>
            <w:tcW w:w="1727" w:type="dxa"/>
            <w:vAlign w:val="center"/>
          </w:tcPr>
          <w:p w:rsidR="0033215C" w:rsidRDefault="00AD63BF">
            <w:pPr>
              <w:pStyle w:val="12"/>
              <w:spacing w:before="0" w:after="0"/>
              <w:ind w:left="0"/>
              <w:jc w:val="center"/>
              <w:rPr>
                <w:sz w:val="21"/>
                <w:szCs w:val="21"/>
              </w:rPr>
            </w:pPr>
            <w:r>
              <w:rPr>
                <w:sz w:val="21"/>
                <w:szCs w:val="21"/>
              </w:rPr>
              <w:t>风险管理区</w:t>
            </w:r>
          </w:p>
          <w:p w:rsidR="0033215C" w:rsidRDefault="00AD63BF">
            <w:pPr>
              <w:pStyle w:val="12"/>
              <w:spacing w:before="0" w:after="0"/>
              <w:ind w:left="0"/>
              <w:jc w:val="center"/>
              <w:rPr>
                <w:sz w:val="21"/>
                <w:szCs w:val="21"/>
              </w:rPr>
            </w:pPr>
            <w:r>
              <w:rPr>
                <w:sz w:val="21"/>
                <w:szCs w:val="21"/>
              </w:rPr>
              <w:t>（黄区）</w:t>
            </w:r>
          </w:p>
        </w:tc>
        <w:tc>
          <w:tcPr>
            <w:tcW w:w="5977" w:type="dxa"/>
            <w:vAlign w:val="center"/>
          </w:tcPr>
          <w:p w:rsidR="0033215C" w:rsidRDefault="00AD63BF">
            <w:pPr>
              <w:pStyle w:val="12"/>
              <w:numPr>
                <w:ilvl w:val="0"/>
                <w:numId w:val="36"/>
              </w:numPr>
              <w:spacing w:before="0" w:after="0"/>
              <w:rPr>
                <w:sz w:val="21"/>
                <w:szCs w:val="21"/>
              </w:rPr>
            </w:pPr>
            <w:r>
              <w:rPr>
                <w:rFonts w:hint="eastAsia"/>
                <w:sz w:val="21"/>
                <w:szCs w:val="21"/>
              </w:rPr>
              <w:t>缺陷按</w:t>
            </w:r>
            <w:r>
              <w:rPr>
                <w:rFonts w:hint="eastAsia"/>
                <w:sz w:val="21"/>
                <w:szCs w:val="21"/>
              </w:rPr>
              <w:t>1</w:t>
            </w:r>
            <w:r>
              <w:rPr>
                <w:rFonts w:hint="eastAsia"/>
                <w:sz w:val="21"/>
                <w:szCs w:val="21"/>
              </w:rPr>
              <w:t>级响应。</w:t>
            </w:r>
          </w:p>
          <w:p w:rsidR="0033215C" w:rsidRDefault="00AD63BF">
            <w:pPr>
              <w:pStyle w:val="12"/>
              <w:numPr>
                <w:ilvl w:val="0"/>
                <w:numId w:val="36"/>
              </w:numPr>
              <w:spacing w:before="0" w:after="0"/>
              <w:rPr>
                <w:sz w:val="21"/>
                <w:szCs w:val="21"/>
              </w:rPr>
            </w:pPr>
            <w:r>
              <w:rPr>
                <w:sz w:val="21"/>
                <w:szCs w:val="21"/>
              </w:rPr>
              <w:t>在风险管理行动时间（</w:t>
            </w:r>
            <w:r>
              <w:rPr>
                <w:sz w:val="21"/>
                <w:szCs w:val="21"/>
              </w:rPr>
              <w:t>RMAT</w:t>
            </w:r>
            <w:r>
              <w:rPr>
                <w:sz w:val="21"/>
                <w:szCs w:val="21"/>
              </w:rPr>
              <w:t>）内完成维修。</w:t>
            </w:r>
          </w:p>
          <w:p w:rsidR="0033215C" w:rsidRDefault="00AD63BF">
            <w:pPr>
              <w:pStyle w:val="12"/>
              <w:numPr>
                <w:ilvl w:val="0"/>
                <w:numId w:val="36"/>
              </w:numPr>
              <w:spacing w:before="0" w:after="0"/>
              <w:rPr>
                <w:sz w:val="21"/>
                <w:szCs w:val="21"/>
              </w:rPr>
            </w:pPr>
            <w:r>
              <w:rPr>
                <w:sz w:val="21"/>
                <w:szCs w:val="21"/>
              </w:rPr>
              <w:t>制定并组织实施</w:t>
            </w:r>
            <w:r>
              <w:rPr>
                <w:sz w:val="21"/>
                <w:szCs w:val="21"/>
              </w:rPr>
              <w:t>RMA</w:t>
            </w:r>
            <w:r>
              <w:rPr>
                <w:sz w:val="21"/>
                <w:szCs w:val="21"/>
              </w:rPr>
              <w:t>后，允许延长维修时间至</w:t>
            </w:r>
            <w:r>
              <w:rPr>
                <w:sz w:val="21"/>
                <w:szCs w:val="21"/>
              </w:rPr>
              <w:t>ACT</w:t>
            </w:r>
            <w:r>
              <w:rPr>
                <w:sz w:val="21"/>
                <w:szCs w:val="21"/>
              </w:rPr>
              <w:t>。</w:t>
            </w:r>
          </w:p>
        </w:tc>
      </w:tr>
      <w:tr w:rsidR="0033215C">
        <w:trPr>
          <w:trHeight w:val="139"/>
          <w:jc w:val="center"/>
        </w:trPr>
        <w:tc>
          <w:tcPr>
            <w:tcW w:w="1727" w:type="dxa"/>
            <w:vAlign w:val="center"/>
          </w:tcPr>
          <w:p w:rsidR="0033215C" w:rsidRDefault="00AD63BF">
            <w:pPr>
              <w:pStyle w:val="12"/>
              <w:spacing w:before="0" w:after="0"/>
              <w:ind w:left="0"/>
              <w:jc w:val="center"/>
              <w:rPr>
                <w:sz w:val="21"/>
                <w:szCs w:val="21"/>
              </w:rPr>
            </w:pPr>
            <w:r>
              <w:rPr>
                <w:sz w:val="21"/>
                <w:szCs w:val="21"/>
              </w:rPr>
              <w:t>正常控制区</w:t>
            </w:r>
          </w:p>
          <w:p w:rsidR="0033215C" w:rsidRDefault="00AD63BF">
            <w:pPr>
              <w:pStyle w:val="12"/>
              <w:spacing w:before="0" w:after="0"/>
              <w:ind w:left="0"/>
              <w:jc w:val="center"/>
              <w:rPr>
                <w:sz w:val="21"/>
                <w:szCs w:val="21"/>
              </w:rPr>
            </w:pPr>
            <w:r>
              <w:rPr>
                <w:sz w:val="21"/>
                <w:szCs w:val="21"/>
              </w:rPr>
              <w:t>（绿区）</w:t>
            </w:r>
          </w:p>
        </w:tc>
        <w:tc>
          <w:tcPr>
            <w:tcW w:w="5977" w:type="dxa"/>
            <w:vAlign w:val="center"/>
          </w:tcPr>
          <w:p w:rsidR="0033215C" w:rsidRDefault="00AD63BF">
            <w:pPr>
              <w:pStyle w:val="12"/>
              <w:spacing w:before="0" w:after="0"/>
              <w:ind w:left="0"/>
              <w:rPr>
                <w:rFonts w:ascii="Cambria Math" w:hAnsi="Cambria Math" w:cs="宋体" w:hint="eastAsia"/>
                <w:sz w:val="21"/>
                <w:szCs w:val="21"/>
              </w:rPr>
            </w:pPr>
            <w:r>
              <w:rPr>
                <w:rFonts w:hint="eastAsia"/>
                <w:sz w:val="21"/>
                <w:szCs w:val="21"/>
              </w:rPr>
              <w:t>正常开展相关生产活动，无新增风险管理要求</w:t>
            </w:r>
            <w:r>
              <w:rPr>
                <w:sz w:val="21"/>
                <w:szCs w:val="21"/>
              </w:rPr>
              <w:t>。</w:t>
            </w:r>
          </w:p>
        </w:tc>
      </w:tr>
    </w:tbl>
    <w:p w:rsidR="0033215C" w:rsidRDefault="00AD63BF">
      <w:pPr>
        <w:pStyle w:val="afffffffffff6"/>
        <w:tabs>
          <w:tab w:val="center" w:pos="1134"/>
        </w:tabs>
        <w:ind w:firstLineChars="0" w:firstLine="0"/>
        <w:jc w:val="center"/>
      </w:pPr>
      <w:r>
        <w:t>注：瞬时风险处于红区时对于后撤的定义等同于技术规格书中的定义。</w:t>
      </w:r>
    </w:p>
    <w:p w:rsidR="0033215C" w:rsidRDefault="00AD63BF">
      <w:pPr>
        <w:pStyle w:val="afffffffffff6"/>
        <w:tabs>
          <w:tab w:val="center" w:pos="1134"/>
        </w:tabs>
      </w:pPr>
      <w:r>
        <w:lastRenderedPageBreak/>
        <w:t>当</w:t>
      </w:r>
      <w:r>
        <w:rPr>
          <w:rFonts w:hint="eastAsia"/>
        </w:rPr>
        <w:t>发生非计划事件进入技术规格</w:t>
      </w:r>
      <w:proofErr w:type="gramStart"/>
      <w:r>
        <w:rPr>
          <w:rFonts w:hint="eastAsia"/>
        </w:rPr>
        <w:t>书运行</w:t>
      </w:r>
      <w:proofErr w:type="gramEnd"/>
      <w:r>
        <w:rPr>
          <w:rFonts w:hint="eastAsia"/>
        </w:rPr>
        <w:t>限制条件（LCO）时，</w:t>
      </w:r>
      <w:r>
        <w:t>除执行技术规格书所规定的措施以外，</w:t>
      </w:r>
      <w:r>
        <w:rPr>
          <w:rFonts w:hint="eastAsia"/>
        </w:rPr>
        <w:t>需检查非计划事件是否由TS设备异常故障引起，若是则</w:t>
      </w:r>
      <w:r>
        <w:t>需</w:t>
      </w:r>
      <w:r>
        <w:rPr>
          <w:rFonts w:hint="eastAsia"/>
        </w:rPr>
        <w:t>在确认配置后的</w:t>
      </w:r>
      <w:r>
        <w:t>1个小时内在风险监测系统中</w:t>
      </w:r>
      <w:r>
        <w:rPr>
          <w:rFonts w:hint="eastAsia"/>
        </w:rPr>
        <w:t>确认或录入设备</w:t>
      </w:r>
      <w:proofErr w:type="gramStart"/>
      <w:r>
        <w:rPr>
          <w:rFonts w:hint="eastAsia"/>
        </w:rPr>
        <w:t>不</w:t>
      </w:r>
      <w:proofErr w:type="gramEnd"/>
      <w:r>
        <w:rPr>
          <w:rFonts w:hint="eastAsia"/>
        </w:rPr>
        <w:t>可用信息，</w:t>
      </w:r>
      <w:r>
        <w:t>完成配置风险评价，并根据评价结果按照</w:t>
      </w:r>
      <w:r>
        <w:fldChar w:fldCharType="begin"/>
      </w:r>
      <w:r>
        <w:instrText xml:space="preserve"> REF _Ref78962703 \h  \* MERGEFORMAT </w:instrText>
      </w:r>
      <w:r>
        <w:fldChar w:fldCharType="separate"/>
      </w:r>
      <w:r w:rsidR="00DF5427" w:rsidRPr="00DF5427">
        <w:rPr>
          <w:rFonts w:hint="eastAsia"/>
        </w:rPr>
        <w:t xml:space="preserve">图 </w:t>
      </w:r>
      <w:r w:rsidR="00DF5427" w:rsidRPr="00DF5427">
        <w:t>3</w:t>
      </w:r>
      <w:r>
        <w:fldChar w:fldCharType="end"/>
      </w:r>
      <w:r>
        <w:t>流程执行配置风险管理。若出现技术规格书要求立即后撤的配置状态时则无需开展配置风险管理工作</w:t>
      </w:r>
      <w:r>
        <w:rPr>
          <w:rFonts w:hint="eastAsia"/>
        </w:rPr>
        <w:t>（停堆后撤的动作即属于RMA）</w:t>
      </w:r>
      <w:r>
        <w:t>。</w:t>
      </w:r>
    </w:p>
    <w:p w:rsidR="0033215C" w:rsidRDefault="00AD63BF">
      <w:pPr>
        <w:pStyle w:val="ARISTEXT"/>
        <w:keepNext/>
        <w:jc w:val="center"/>
        <w:rPr>
          <w:rFonts w:hint="eastAsia"/>
        </w:rPr>
      </w:pPr>
      <w:r>
        <w:object w:dxaOrig="7726" w:dyaOrig="8978">
          <v:shape id="_x0000_i1027" type="#_x0000_t75" style="width:386.85pt;height:448.65pt" o:ole="">
            <v:imagedata r:id="rId23" o:title=""/>
          </v:shape>
          <o:OLEObject Type="Embed" ProgID="Visio.Drawing.11" ShapeID="_x0000_i1027" DrawAspect="Content" ObjectID="_1729600892" r:id="rId24"/>
        </w:object>
      </w:r>
    </w:p>
    <w:p w:rsidR="0033215C" w:rsidRDefault="00AD63BF">
      <w:pPr>
        <w:pStyle w:val="afff1"/>
        <w:spacing w:before="156" w:after="156"/>
        <w:jc w:val="center"/>
        <w:rPr>
          <w:rFonts w:ascii="Times New Roman" w:eastAsia="宋体" w:hAnsi="Times New Roman"/>
          <w:kern w:val="0"/>
          <w:sz w:val="21"/>
          <w:szCs w:val="21"/>
          <w:lang w:val="zh-CN"/>
        </w:rPr>
      </w:pPr>
      <w:bookmarkStart w:id="82" w:name="_Ref78962703"/>
      <w:r>
        <w:rPr>
          <w:rFonts w:ascii="Times New Roman" w:eastAsia="宋体" w:hAnsi="Times New Roman" w:hint="eastAsia"/>
          <w:kern w:val="0"/>
          <w:sz w:val="21"/>
          <w:szCs w:val="21"/>
          <w:lang w:val="zh-CN"/>
        </w:rPr>
        <w:t>图</w:t>
      </w:r>
      <w:r>
        <w:rPr>
          <w:rFonts w:ascii="Times New Roman" w:eastAsia="宋体" w:hAnsi="Times New Roman" w:hint="eastAsia"/>
          <w:kern w:val="0"/>
          <w:sz w:val="21"/>
          <w:szCs w:val="21"/>
          <w:lang w:val="zh-CN"/>
        </w:rPr>
        <w:t xml:space="preserve"> </w:t>
      </w:r>
      <w:r>
        <w:rPr>
          <w:rFonts w:ascii="Times New Roman" w:eastAsia="宋体" w:hAnsi="Times New Roman"/>
          <w:kern w:val="0"/>
          <w:sz w:val="21"/>
          <w:szCs w:val="21"/>
          <w:lang w:val="zh-CN"/>
        </w:rPr>
        <w:fldChar w:fldCharType="begin"/>
      </w:r>
      <w:r>
        <w:rPr>
          <w:rFonts w:ascii="Times New Roman" w:eastAsia="宋体" w:hAnsi="Times New Roman"/>
          <w:kern w:val="0"/>
          <w:sz w:val="21"/>
          <w:szCs w:val="21"/>
          <w:lang w:val="zh-CN"/>
        </w:rPr>
        <w:instrText xml:space="preserve"> </w:instrText>
      </w:r>
      <w:r>
        <w:rPr>
          <w:rFonts w:ascii="Times New Roman" w:eastAsia="宋体" w:hAnsi="Times New Roman" w:hint="eastAsia"/>
          <w:kern w:val="0"/>
          <w:sz w:val="21"/>
          <w:szCs w:val="21"/>
          <w:lang w:val="zh-CN"/>
        </w:rPr>
        <w:instrText xml:space="preserve">SEQ </w:instrText>
      </w:r>
      <w:r>
        <w:rPr>
          <w:rFonts w:ascii="Times New Roman" w:eastAsia="宋体" w:hAnsi="Times New Roman" w:hint="eastAsia"/>
          <w:kern w:val="0"/>
          <w:sz w:val="21"/>
          <w:szCs w:val="21"/>
          <w:lang w:val="zh-CN"/>
        </w:rPr>
        <w:instrText>图</w:instrText>
      </w:r>
      <w:r>
        <w:rPr>
          <w:rFonts w:ascii="Times New Roman" w:eastAsia="宋体" w:hAnsi="Times New Roman" w:hint="eastAsia"/>
          <w:kern w:val="0"/>
          <w:sz w:val="21"/>
          <w:szCs w:val="21"/>
          <w:lang w:val="zh-CN"/>
        </w:rPr>
        <w:instrText xml:space="preserve"> \* ARABIC</w:instrText>
      </w:r>
      <w:r>
        <w:rPr>
          <w:rFonts w:ascii="Times New Roman" w:eastAsia="宋体" w:hAnsi="Times New Roman"/>
          <w:kern w:val="0"/>
          <w:sz w:val="21"/>
          <w:szCs w:val="21"/>
          <w:lang w:val="zh-CN"/>
        </w:rPr>
        <w:instrText xml:space="preserve"> </w:instrText>
      </w:r>
      <w:r>
        <w:rPr>
          <w:rFonts w:ascii="Times New Roman" w:eastAsia="宋体" w:hAnsi="Times New Roman"/>
          <w:kern w:val="0"/>
          <w:sz w:val="21"/>
          <w:szCs w:val="21"/>
          <w:lang w:val="zh-CN"/>
        </w:rPr>
        <w:fldChar w:fldCharType="separate"/>
      </w:r>
      <w:r w:rsidR="00DF5427">
        <w:rPr>
          <w:rFonts w:ascii="Times New Roman" w:eastAsia="宋体" w:hAnsi="Times New Roman"/>
          <w:noProof/>
          <w:kern w:val="0"/>
          <w:sz w:val="21"/>
          <w:szCs w:val="21"/>
          <w:lang w:val="zh-CN"/>
        </w:rPr>
        <w:t>3</w:t>
      </w:r>
      <w:r>
        <w:rPr>
          <w:rFonts w:ascii="Times New Roman" w:eastAsia="宋体" w:hAnsi="Times New Roman"/>
          <w:kern w:val="0"/>
          <w:sz w:val="21"/>
          <w:szCs w:val="21"/>
          <w:lang w:val="zh-CN"/>
        </w:rPr>
        <w:fldChar w:fldCharType="end"/>
      </w:r>
      <w:bookmarkEnd w:id="82"/>
      <w:r>
        <w:rPr>
          <w:rFonts w:ascii="Times New Roman" w:eastAsia="宋体" w:hAnsi="Times New Roman" w:hint="eastAsia"/>
          <w:kern w:val="0"/>
          <w:sz w:val="21"/>
          <w:szCs w:val="21"/>
          <w:lang w:val="zh-CN"/>
        </w:rPr>
        <w:t xml:space="preserve"> </w:t>
      </w:r>
      <w:r>
        <w:rPr>
          <w:rFonts w:ascii="Times New Roman" w:eastAsia="宋体" w:hAnsi="Times New Roman"/>
          <w:kern w:val="0"/>
          <w:sz w:val="21"/>
          <w:szCs w:val="21"/>
          <w:lang w:val="zh-CN"/>
        </w:rPr>
        <w:t>运行（非计划</w:t>
      </w:r>
      <w:proofErr w:type="gramStart"/>
      <w:r>
        <w:rPr>
          <w:rFonts w:ascii="Times New Roman" w:eastAsia="宋体" w:hAnsi="Times New Roman"/>
          <w:kern w:val="0"/>
          <w:sz w:val="21"/>
          <w:szCs w:val="21"/>
          <w:lang w:val="zh-CN"/>
        </w:rPr>
        <w:t>不</w:t>
      </w:r>
      <w:proofErr w:type="gramEnd"/>
      <w:r>
        <w:rPr>
          <w:rFonts w:ascii="Times New Roman" w:eastAsia="宋体" w:hAnsi="Times New Roman"/>
          <w:kern w:val="0"/>
          <w:sz w:val="21"/>
          <w:szCs w:val="21"/>
          <w:lang w:val="zh-CN"/>
        </w:rPr>
        <w:t>可用）配置风险管理</w:t>
      </w:r>
      <w:r>
        <w:rPr>
          <w:rFonts w:ascii="Times New Roman" w:eastAsia="宋体" w:hAnsi="Times New Roman" w:hint="eastAsia"/>
          <w:kern w:val="0"/>
          <w:sz w:val="21"/>
          <w:szCs w:val="21"/>
          <w:lang w:val="zh-CN"/>
        </w:rPr>
        <w:t>流程</w:t>
      </w:r>
    </w:p>
    <w:p w:rsidR="0033215C" w:rsidRDefault="0033215C">
      <w:pPr>
        <w:pStyle w:val="afffffffffff6"/>
        <w:tabs>
          <w:tab w:val="center" w:pos="1134"/>
        </w:tabs>
      </w:pPr>
    </w:p>
    <w:p w:rsidR="0033215C" w:rsidRDefault="00AD63BF">
      <w:pPr>
        <w:pStyle w:val="affffff5"/>
        <w:numPr>
          <w:ilvl w:val="1"/>
          <w:numId w:val="30"/>
        </w:numPr>
        <w:spacing w:before="120" w:after="120"/>
        <w:ind w:left="0"/>
        <w:jc w:val="left"/>
      </w:pPr>
      <w:bookmarkStart w:id="83" w:name="_Toc72247191"/>
      <w:bookmarkStart w:id="84" w:name="_Toc80697128"/>
      <w:bookmarkStart w:id="85" w:name="_Toc89355801"/>
      <w:r>
        <w:t>维修配置风险管理</w:t>
      </w:r>
      <w:bookmarkEnd w:id="83"/>
      <w:bookmarkEnd w:id="84"/>
      <w:bookmarkEnd w:id="85"/>
    </w:p>
    <w:p w:rsidR="0033215C" w:rsidRDefault="00AD63BF">
      <w:pPr>
        <w:pStyle w:val="afffffffffff6"/>
        <w:tabs>
          <w:tab w:val="center" w:pos="1134"/>
        </w:tabs>
      </w:pPr>
      <w:r>
        <w:t>维修配置风险管理适用于</w:t>
      </w:r>
      <w:r>
        <w:rPr>
          <w:rFonts w:hint="eastAsia"/>
        </w:rPr>
        <w:t>所有PSA工况</w:t>
      </w:r>
      <w:r>
        <w:t>，管理对象为PSA设备</w:t>
      </w:r>
      <w:r w:rsidR="004D24A6">
        <w:rPr>
          <w:rFonts w:hint="eastAsia"/>
        </w:rPr>
        <w:t>（PSA建模设备）</w:t>
      </w:r>
      <w:r>
        <w:t>，主要在生产计划（日计划、长周期计划）、大修计划（含小修计划）等维修计划制定过程中的应用。</w:t>
      </w:r>
      <w:r>
        <w:rPr>
          <w:rFonts w:hint="eastAsia"/>
        </w:rPr>
        <w:t>维修（计划</w:t>
      </w:r>
      <w:proofErr w:type="gramStart"/>
      <w:r>
        <w:rPr>
          <w:rFonts w:hint="eastAsia"/>
        </w:rPr>
        <w:t>不</w:t>
      </w:r>
      <w:proofErr w:type="gramEnd"/>
      <w:r>
        <w:rPr>
          <w:rFonts w:hint="eastAsia"/>
        </w:rPr>
        <w:t>可用）风险管理矩的进入与退出：制定计划时PSA设备</w:t>
      </w:r>
      <w:proofErr w:type="gramStart"/>
      <w:r>
        <w:rPr>
          <w:rFonts w:hint="eastAsia"/>
        </w:rPr>
        <w:t>不</w:t>
      </w:r>
      <w:proofErr w:type="gramEnd"/>
      <w:r>
        <w:rPr>
          <w:rFonts w:hint="eastAsia"/>
        </w:rPr>
        <w:t>可用导致瞬时风险和累积风险进入黄区时进入风险管理矩阵的黄区，红区不允许主动进入；当所有PSA设备恢复可用时退出风险管理矩阵的黄区或红区，进入绿区。</w:t>
      </w:r>
    </w:p>
    <w:p w:rsidR="0033215C" w:rsidRDefault="00AD63BF">
      <w:pPr>
        <w:pStyle w:val="afffffffffff6"/>
        <w:tabs>
          <w:tab w:val="center" w:pos="1134"/>
        </w:tabs>
      </w:pPr>
      <w:r>
        <w:rPr>
          <w:rFonts w:hint="eastAsia"/>
        </w:rPr>
        <w:t>当机组发生非计划事件,PSA设备突发故障</w:t>
      </w:r>
      <w:proofErr w:type="gramStart"/>
      <w:r>
        <w:rPr>
          <w:rFonts w:hint="eastAsia"/>
        </w:rPr>
        <w:t>不</w:t>
      </w:r>
      <w:proofErr w:type="gramEnd"/>
      <w:r>
        <w:rPr>
          <w:rFonts w:hint="eastAsia"/>
        </w:rPr>
        <w:t>可用导致机组瞬时风险进入风险管理区，但维修活动的累积风险仍然处于绿区，则可正常开展计划性维修工作。</w:t>
      </w:r>
    </w:p>
    <w:p w:rsidR="0033215C" w:rsidRDefault="00AD63BF">
      <w:pPr>
        <w:pStyle w:val="afff1"/>
        <w:keepNext/>
        <w:spacing w:before="156" w:after="156"/>
        <w:jc w:val="center"/>
        <w:rPr>
          <w:rFonts w:ascii="Times New Roman" w:eastAsia="宋体" w:hAnsi="Times New Roman"/>
          <w:sz w:val="21"/>
          <w:szCs w:val="21"/>
        </w:rPr>
      </w:pPr>
      <w:r>
        <w:rPr>
          <w:rFonts w:ascii="Times New Roman" w:eastAsia="宋体" w:hAnsi="Times New Roman"/>
          <w:sz w:val="21"/>
          <w:szCs w:val="21"/>
        </w:rPr>
        <w:lastRenderedPageBreak/>
        <w:t>表</w:t>
      </w:r>
      <w:r>
        <w:rPr>
          <w:rFonts w:ascii="Times New Roman" w:eastAsia="宋体" w:hAnsi="Times New Roman"/>
          <w:sz w:val="21"/>
          <w:szCs w:val="21"/>
        </w:rPr>
        <w:t xml:space="preserve"> </w:t>
      </w:r>
      <w:r>
        <w:rPr>
          <w:rFonts w:ascii="Times New Roman" w:eastAsia="宋体" w:hAnsi="Times New Roman"/>
          <w:sz w:val="21"/>
          <w:szCs w:val="21"/>
        </w:rPr>
        <w:fldChar w:fldCharType="begin"/>
      </w:r>
      <w:r>
        <w:rPr>
          <w:rFonts w:ascii="Times New Roman" w:eastAsia="宋体" w:hAnsi="Times New Roman"/>
          <w:sz w:val="21"/>
          <w:szCs w:val="21"/>
        </w:rPr>
        <w:instrText xml:space="preserve"> SEQ </w:instrText>
      </w:r>
      <w:r>
        <w:rPr>
          <w:rFonts w:ascii="Times New Roman" w:eastAsia="宋体" w:hAnsi="Times New Roman"/>
          <w:sz w:val="21"/>
          <w:szCs w:val="21"/>
        </w:rPr>
        <w:instrText>表</w:instrText>
      </w:r>
      <w:r>
        <w:rPr>
          <w:rFonts w:ascii="Times New Roman" w:eastAsia="宋体" w:hAnsi="Times New Roman"/>
          <w:sz w:val="21"/>
          <w:szCs w:val="21"/>
        </w:rPr>
        <w:instrText xml:space="preserve"> \* ARABIC </w:instrText>
      </w:r>
      <w:r>
        <w:rPr>
          <w:rFonts w:ascii="Times New Roman" w:eastAsia="宋体" w:hAnsi="Times New Roman"/>
          <w:sz w:val="21"/>
          <w:szCs w:val="21"/>
        </w:rPr>
        <w:fldChar w:fldCharType="separate"/>
      </w:r>
      <w:r>
        <w:rPr>
          <w:rFonts w:ascii="Times New Roman" w:eastAsia="宋体" w:hAnsi="Times New Roman"/>
          <w:sz w:val="21"/>
          <w:szCs w:val="21"/>
        </w:rPr>
        <w:t>4</w:t>
      </w:r>
      <w:r>
        <w:rPr>
          <w:rFonts w:ascii="Times New Roman" w:eastAsia="宋体" w:hAnsi="Times New Roman"/>
          <w:sz w:val="21"/>
          <w:szCs w:val="21"/>
        </w:rPr>
        <w:fldChar w:fldCharType="end"/>
      </w:r>
      <w:r>
        <w:rPr>
          <w:rFonts w:ascii="Times New Roman" w:eastAsia="宋体" w:hAnsi="Times New Roman"/>
          <w:sz w:val="21"/>
          <w:szCs w:val="21"/>
        </w:rPr>
        <w:t xml:space="preserve"> </w:t>
      </w:r>
      <w:r>
        <w:rPr>
          <w:rFonts w:ascii="Times New Roman" w:eastAsia="宋体" w:hAnsi="Times New Roman"/>
          <w:sz w:val="21"/>
          <w:szCs w:val="21"/>
        </w:rPr>
        <w:t>维修（计划</w:t>
      </w:r>
      <w:proofErr w:type="gramStart"/>
      <w:r>
        <w:rPr>
          <w:rFonts w:ascii="Times New Roman" w:eastAsia="宋体" w:hAnsi="Times New Roman"/>
          <w:sz w:val="21"/>
          <w:szCs w:val="21"/>
        </w:rPr>
        <w:t>不</w:t>
      </w:r>
      <w:proofErr w:type="gramEnd"/>
      <w:r>
        <w:rPr>
          <w:rFonts w:ascii="Times New Roman" w:eastAsia="宋体" w:hAnsi="Times New Roman"/>
          <w:sz w:val="21"/>
          <w:szCs w:val="21"/>
        </w:rPr>
        <w:t>可用）风险管理矩阵</w:t>
      </w: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5815"/>
      </w:tblGrid>
      <w:tr w:rsidR="0033215C">
        <w:trPr>
          <w:trHeight w:val="577"/>
          <w:jc w:val="center"/>
        </w:trPr>
        <w:tc>
          <w:tcPr>
            <w:tcW w:w="1763" w:type="dxa"/>
            <w:vAlign w:val="center"/>
          </w:tcPr>
          <w:p w:rsidR="0033215C" w:rsidRDefault="00AD63BF">
            <w:pPr>
              <w:pStyle w:val="12"/>
              <w:ind w:left="0"/>
              <w:jc w:val="center"/>
              <w:rPr>
                <w:b/>
                <w:sz w:val="21"/>
                <w:szCs w:val="21"/>
              </w:rPr>
            </w:pPr>
            <w:r>
              <w:rPr>
                <w:b/>
                <w:sz w:val="21"/>
                <w:szCs w:val="21"/>
              </w:rPr>
              <w:t>风险区域</w:t>
            </w:r>
          </w:p>
        </w:tc>
        <w:tc>
          <w:tcPr>
            <w:tcW w:w="5815" w:type="dxa"/>
            <w:vAlign w:val="center"/>
          </w:tcPr>
          <w:p w:rsidR="0033215C" w:rsidRDefault="00AD63BF">
            <w:pPr>
              <w:pStyle w:val="12"/>
              <w:ind w:left="0"/>
              <w:jc w:val="center"/>
              <w:rPr>
                <w:b/>
                <w:sz w:val="21"/>
                <w:szCs w:val="21"/>
              </w:rPr>
            </w:pPr>
            <w:r>
              <w:rPr>
                <w:b/>
                <w:sz w:val="21"/>
                <w:szCs w:val="21"/>
              </w:rPr>
              <w:t>配置风险管理行动</w:t>
            </w:r>
          </w:p>
        </w:tc>
      </w:tr>
      <w:tr w:rsidR="0033215C">
        <w:trPr>
          <w:trHeight w:val="139"/>
          <w:jc w:val="center"/>
        </w:trPr>
        <w:tc>
          <w:tcPr>
            <w:tcW w:w="1763" w:type="dxa"/>
            <w:vAlign w:val="center"/>
          </w:tcPr>
          <w:p w:rsidR="0033215C" w:rsidRDefault="00AD63BF">
            <w:pPr>
              <w:pStyle w:val="12"/>
              <w:spacing w:before="0" w:after="0"/>
              <w:ind w:left="0"/>
              <w:jc w:val="center"/>
              <w:rPr>
                <w:sz w:val="21"/>
                <w:szCs w:val="21"/>
              </w:rPr>
            </w:pPr>
            <w:r>
              <w:rPr>
                <w:sz w:val="21"/>
                <w:szCs w:val="21"/>
              </w:rPr>
              <w:t>风险不可接受区</w:t>
            </w:r>
          </w:p>
          <w:p w:rsidR="0033215C" w:rsidRDefault="00AD63BF">
            <w:pPr>
              <w:pStyle w:val="12"/>
              <w:spacing w:before="0" w:after="0"/>
              <w:ind w:left="0"/>
              <w:jc w:val="center"/>
              <w:rPr>
                <w:sz w:val="21"/>
                <w:szCs w:val="21"/>
              </w:rPr>
            </w:pPr>
            <w:r>
              <w:rPr>
                <w:sz w:val="21"/>
                <w:szCs w:val="21"/>
              </w:rPr>
              <w:t>（红区）</w:t>
            </w:r>
          </w:p>
        </w:tc>
        <w:tc>
          <w:tcPr>
            <w:tcW w:w="5815" w:type="dxa"/>
            <w:vAlign w:val="center"/>
          </w:tcPr>
          <w:p w:rsidR="0033215C" w:rsidRDefault="00AD63BF">
            <w:pPr>
              <w:pStyle w:val="12"/>
              <w:spacing w:before="0" w:after="0"/>
              <w:ind w:left="0"/>
              <w:rPr>
                <w:sz w:val="21"/>
                <w:szCs w:val="21"/>
              </w:rPr>
            </w:pPr>
            <w:r>
              <w:rPr>
                <w:sz w:val="21"/>
                <w:szCs w:val="21"/>
              </w:rPr>
              <w:t>禁止主动进入</w:t>
            </w:r>
          </w:p>
        </w:tc>
      </w:tr>
      <w:tr w:rsidR="0033215C">
        <w:trPr>
          <w:trHeight w:val="416"/>
          <w:jc w:val="center"/>
        </w:trPr>
        <w:tc>
          <w:tcPr>
            <w:tcW w:w="1763" w:type="dxa"/>
            <w:vAlign w:val="center"/>
          </w:tcPr>
          <w:p w:rsidR="0033215C" w:rsidRDefault="00AD63BF">
            <w:pPr>
              <w:pStyle w:val="12"/>
              <w:spacing w:before="0" w:after="0"/>
              <w:ind w:left="0"/>
              <w:jc w:val="center"/>
              <w:outlineLvl w:val="3"/>
              <w:rPr>
                <w:rFonts w:ascii="Cambria Math" w:hAnsi="Cambria Math" w:cs="宋体" w:hint="eastAsia"/>
                <w:sz w:val="21"/>
                <w:szCs w:val="21"/>
              </w:rPr>
            </w:pPr>
            <w:r>
              <w:rPr>
                <w:rFonts w:hint="eastAsia"/>
                <w:sz w:val="21"/>
                <w:szCs w:val="21"/>
              </w:rPr>
              <w:t>风险管理区</w:t>
            </w:r>
          </w:p>
          <w:p w:rsidR="0033215C" w:rsidRDefault="00AD63BF">
            <w:pPr>
              <w:pStyle w:val="12"/>
              <w:spacing w:before="0" w:after="0"/>
              <w:ind w:left="0"/>
              <w:jc w:val="center"/>
              <w:rPr>
                <w:sz w:val="21"/>
                <w:szCs w:val="21"/>
              </w:rPr>
            </w:pPr>
            <w:r>
              <w:rPr>
                <w:rFonts w:hint="eastAsia"/>
                <w:sz w:val="21"/>
                <w:szCs w:val="21"/>
              </w:rPr>
              <w:t>（黄区）</w:t>
            </w:r>
          </w:p>
        </w:tc>
        <w:tc>
          <w:tcPr>
            <w:tcW w:w="5815" w:type="dxa"/>
            <w:vAlign w:val="center"/>
          </w:tcPr>
          <w:p w:rsidR="0033215C" w:rsidRDefault="00AD63BF">
            <w:pPr>
              <w:pStyle w:val="12"/>
              <w:numPr>
                <w:ilvl w:val="0"/>
                <w:numId w:val="37"/>
              </w:numPr>
              <w:spacing w:before="0" w:after="0"/>
              <w:outlineLvl w:val="3"/>
              <w:rPr>
                <w:sz w:val="21"/>
                <w:szCs w:val="21"/>
              </w:rPr>
            </w:pPr>
            <w:r>
              <w:rPr>
                <w:rFonts w:hint="eastAsia"/>
                <w:sz w:val="21"/>
                <w:szCs w:val="21"/>
              </w:rPr>
              <w:t>评价不可定量因素影响</w:t>
            </w:r>
            <w:r>
              <w:rPr>
                <w:sz w:val="21"/>
                <w:szCs w:val="21"/>
                <w:vertAlign w:val="superscript"/>
              </w:rPr>
              <w:t>[</w:t>
            </w:r>
            <w:r>
              <w:rPr>
                <w:rFonts w:hint="eastAsia"/>
                <w:sz w:val="21"/>
                <w:szCs w:val="21"/>
                <w:vertAlign w:val="superscript"/>
              </w:rPr>
              <w:t>注</w:t>
            </w:r>
            <w:r>
              <w:rPr>
                <w:sz w:val="21"/>
                <w:szCs w:val="21"/>
                <w:vertAlign w:val="superscript"/>
              </w:rPr>
              <w:t>]</w:t>
            </w:r>
          </w:p>
          <w:p w:rsidR="0033215C" w:rsidRDefault="00AD63BF">
            <w:pPr>
              <w:pStyle w:val="12"/>
              <w:numPr>
                <w:ilvl w:val="0"/>
                <w:numId w:val="37"/>
              </w:numPr>
              <w:spacing w:before="0" w:after="0"/>
              <w:rPr>
                <w:sz w:val="21"/>
                <w:szCs w:val="21"/>
              </w:rPr>
            </w:pPr>
            <w:r>
              <w:rPr>
                <w:rFonts w:hint="eastAsia"/>
                <w:sz w:val="21"/>
                <w:szCs w:val="21"/>
              </w:rPr>
              <w:t>生产例会</w:t>
            </w:r>
            <w:r>
              <w:rPr>
                <w:rFonts w:hint="eastAsia"/>
                <w:sz w:val="21"/>
                <w:szCs w:val="21"/>
              </w:rPr>
              <w:t>/</w:t>
            </w:r>
            <w:r>
              <w:rPr>
                <w:rFonts w:hint="eastAsia"/>
                <w:sz w:val="21"/>
                <w:szCs w:val="21"/>
              </w:rPr>
              <w:t>大修例会中制定风险管理措施（</w:t>
            </w:r>
            <w:r>
              <w:rPr>
                <w:sz w:val="21"/>
                <w:szCs w:val="21"/>
              </w:rPr>
              <w:t>RMA</w:t>
            </w:r>
            <w:r>
              <w:rPr>
                <w:rFonts w:hint="eastAsia"/>
                <w:sz w:val="21"/>
                <w:szCs w:val="21"/>
              </w:rPr>
              <w:t>）</w:t>
            </w:r>
          </w:p>
          <w:p w:rsidR="0033215C" w:rsidRDefault="00AD63BF">
            <w:pPr>
              <w:pStyle w:val="12"/>
              <w:numPr>
                <w:ilvl w:val="0"/>
                <w:numId w:val="37"/>
              </w:numPr>
              <w:spacing w:before="0" w:after="0"/>
              <w:rPr>
                <w:sz w:val="21"/>
                <w:szCs w:val="21"/>
              </w:rPr>
            </w:pPr>
            <w:r>
              <w:rPr>
                <w:rFonts w:hint="eastAsia"/>
                <w:sz w:val="21"/>
                <w:szCs w:val="21"/>
              </w:rPr>
              <w:t>累积风险达到红区阈值的</w:t>
            </w:r>
            <w:r>
              <w:rPr>
                <w:sz w:val="21"/>
                <w:szCs w:val="21"/>
              </w:rPr>
              <w:t>75%</w:t>
            </w:r>
            <w:r>
              <w:rPr>
                <w:rFonts w:hint="eastAsia"/>
                <w:sz w:val="21"/>
                <w:szCs w:val="21"/>
              </w:rPr>
              <w:t>时需经生产例会</w:t>
            </w:r>
            <w:r>
              <w:rPr>
                <w:rFonts w:hint="eastAsia"/>
                <w:sz w:val="21"/>
                <w:szCs w:val="21"/>
              </w:rPr>
              <w:t>/</w:t>
            </w:r>
            <w:r>
              <w:rPr>
                <w:rFonts w:hint="eastAsia"/>
                <w:sz w:val="21"/>
                <w:szCs w:val="21"/>
              </w:rPr>
              <w:t>大修例会决策批准。</w:t>
            </w:r>
          </w:p>
        </w:tc>
      </w:tr>
      <w:tr w:rsidR="0033215C">
        <w:trPr>
          <w:trHeight w:val="139"/>
          <w:jc w:val="center"/>
        </w:trPr>
        <w:tc>
          <w:tcPr>
            <w:tcW w:w="1763" w:type="dxa"/>
            <w:vAlign w:val="center"/>
          </w:tcPr>
          <w:p w:rsidR="0033215C" w:rsidRDefault="00AD63BF">
            <w:pPr>
              <w:pStyle w:val="12"/>
              <w:spacing w:before="0" w:after="0"/>
              <w:ind w:left="0"/>
              <w:jc w:val="center"/>
              <w:rPr>
                <w:sz w:val="21"/>
                <w:szCs w:val="21"/>
              </w:rPr>
            </w:pPr>
            <w:r>
              <w:rPr>
                <w:sz w:val="21"/>
                <w:szCs w:val="21"/>
              </w:rPr>
              <w:t>正常控制区</w:t>
            </w:r>
          </w:p>
          <w:p w:rsidR="0033215C" w:rsidRDefault="00AD63BF">
            <w:pPr>
              <w:pStyle w:val="12"/>
              <w:spacing w:before="0" w:after="0"/>
              <w:ind w:left="0"/>
              <w:jc w:val="center"/>
              <w:rPr>
                <w:sz w:val="21"/>
                <w:szCs w:val="21"/>
              </w:rPr>
            </w:pPr>
            <w:r>
              <w:rPr>
                <w:sz w:val="21"/>
                <w:szCs w:val="21"/>
              </w:rPr>
              <w:t>（绿区）</w:t>
            </w:r>
          </w:p>
        </w:tc>
        <w:tc>
          <w:tcPr>
            <w:tcW w:w="5815" w:type="dxa"/>
            <w:vAlign w:val="center"/>
          </w:tcPr>
          <w:p w:rsidR="0033215C" w:rsidRDefault="00AD63BF">
            <w:pPr>
              <w:pStyle w:val="12"/>
              <w:spacing w:before="0" w:after="0"/>
              <w:ind w:left="0"/>
              <w:rPr>
                <w:sz w:val="21"/>
                <w:szCs w:val="21"/>
              </w:rPr>
            </w:pPr>
            <w:r>
              <w:rPr>
                <w:rFonts w:hint="eastAsia"/>
                <w:sz w:val="21"/>
                <w:szCs w:val="21"/>
              </w:rPr>
              <w:t>正常工作控制</w:t>
            </w:r>
          </w:p>
        </w:tc>
      </w:tr>
    </w:tbl>
    <w:p w:rsidR="0033215C" w:rsidRDefault="00AD63BF">
      <w:pPr>
        <w:pStyle w:val="afffffffffff6"/>
        <w:tabs>
          <w:tab w:val="center" w:pos="1134"/>
        </w:tabs>
      </w:pPr>
      <w:r>
        <w:t>注：不可定量因素是指通过定性或保守定量的方法评价建模过程中无法定量评价的建模假设、模型分析的保守性、风险管理措施中的人员失误事件等因素对核电厂风险影响。</w:t>
      </w:r>
    </w:p>
    <w:p w:rsidR="0033215C" w:rsidRDefault="0033215C">
      <w:pPr>
        <w:pStyle w:val="afffffffffff6"/>
        <w:tabs>
          <w:tab w:val="center" w:pos="1134"/>
        </w:tabs>
        <w:ind w:firstLineChars="0" w:firstLine="0"/>
      </w:pPr>
    </w:p>
    <w:p w:rsidR="0033215C" w:rsidRDefault="00AD63BF">
      <w:pPr>
        <w:pStyle w:val="afffffffffff6"/>
        <w:tabs>
          <w:tab w:val="center" w:pos="1134"/>
        </w:tabs>
      </w:pPr>
      <w:r>
        <w:t>维修计划制定配置风险管理流程见</w:t>
      </w:r>
      <w:r>
        <w:fldChar w:fldCharType="begin"/>
      </w:r>
      <w:r>
        <w:instrText xml:space="preserve"> REF _Ref75191620 \h  \* MERGEFORMAT </w:instrText>
      </w:r>
      <w:r>
        <w:fldChar w:fldCharType="separate"/>
      </w:r>
      <w:r w:rsidR="00DF5427" w:rsidRPr="00DF5427">
        <w:t>图 4</w:t>
      </w:r>
      <w:r>
        <w:fldChar w:fldCharType="end"/>
      </w:r>
      <w:r>
        <w:t>。生产计划、大修计划工程师在制定计划时控制风险，不允许主动进入累积风险红区、瞬时风险红区。</w:t>
      </w:r>
    </w:p>
    <w:p w:rsidR="0033215C" w:rsidRDefault="00AD63BF">
      <w:pPr>
        <w:pStyle w:val="ARISTEXT"/>
        <w:jc w:val="center"/>
        <w:rPr>
          <w:rFonts w:ascii="Times New Roman" w:hAnsi="Times New Roman" w:cs="Times New Roman"/>
        </w:rPr>
      </w:pPr>
      <w:r>
        <w:rPr>
          <w:rFonts w:ascii="Times New Roman" w:hAnsi="Times New Roman" w:cs="Times New Roman"/>
        </w:rPr>
        <w:object w:dxaOrig="6637" w:dyaOrig="8915">
          <v:shape id="_x0000_i1028" type="#_x0000_t75" style="width:332.05pt;height:445.95pt" o:ole="">
            <v:imagedata r:id="rId25" o:title=""/>
          </v:shape>
          <o:OLEObject Type="Embed" ProgID="Visio.Drawing.11" ShapeID="_x0000_i1028" DrawAspect="Content" ObjectID="_1729600893" r:id="rId26"/>
        </w:object>
      </w:r>
    </w:p>
    <w:p w:rsidR="0033215C" w:rsidRDefault="00AD63BF">
      <w:pPr>
        <w:pStyle w:val="ARISTEXT"/>
        <w:spacing w:before="120" w:after="120"/>
        <w:jc w:val="center"/>
        <w:rPr>
          <w:rFonts w:ascii="Times New Roman" w:hAnsi="Times New Roman" w:cs="Times New Roman"/>
          <w:sz w:val="24"/>
          <w:szCs w:val="24"/>
        </w:rPr>
      </w:pPr>
      <w:bookmarkStart w:id="86" w:name="_Ref75191620"/>
      <w:r>
        <w:rPr>
          <w:rFonts w:ascii="Times New Roman" w:hAnsi="Times New Roman"/>
        </w:rPr>
        <w:lastRenderedPageBreak/>
        <w:t>图</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SEQ </w:instrText>
      </w:r>
      <w:r>
        <w:rPr>
          <w:rFonts w:ascii="Times New Roman" w:hAnsi="Times New Roman"/>
        </w:rPr>
        <w:instrText>图</w:instrText>
      </w:r>
      <w:r>
        <w:rPr>
          <w:rFonts w:ascii="Times New Roman" w:hAnsi="Times New Roman"/>
        </w:rPr>
        <w:instrText xml:space="preserve"> \* ARABIC </w:instrText>
      </w:r>
      <w:r>
        <w:rPr>
          <w:rFonts w:ascii="Times New Roman" w:hAnsi="Times New Roman"/>
        </w:rPr>
        <w:fldChar w:fldCharType="separate"/>
      </w:r>
      <w:r w:rsidR="00DF5427">
        <w:rPr>
          <w:rFonts w:ascii="Times New Roman" w:hAnsi="Times New Roman"/>
          <w:noProof/>
        </w:rPr>
        <w:t>4</w:t>
      </w:r>
      <w:r>
        <w:rPr>
          <w:rFonts w:ascii="Times New Roman" w:hAnsi="Times New Roman"/>
        </w:rPr>
        <w:fldChar w:fldCharType="end"/>
      </w:r>
      <w:bookmarkEnd w:id="86"/>
      <w:r>
        <w:rPr>
          <w:rFonts w:ascii="Times New Roman" w:hAnsi="Times New Roman"/>
        </w:rPr>
        <w:t xml:space="preserve"> </w:t>
      </w:r>
      <w:r>
        <w:rPr>
          <w:rFonts w:ascii="Times New Roman" w:hAnsi="Times New Roman"/>
        </w:rPr>
        <w:t>维修</w:t>
      </w:r>
      <w:r>
        <w:rPr>
          <w:rFonts w:ascii="Times New Roman" w:hAnsi="Times New Roman" w:hint="eastAsia"/>
        </w:rPr>
        <w:t>（计划</w:t>
      </w:r>
      <w:proofErr w:type="gramStart"/>
      <w:r>
        <w:rPr>
          <w:rFonts w:ascii="Times New Roman" w:hAnsi="Times New Roman" w:hint="eastAsia"/>
        </w:rPr>
        <w:t>不</w:t>
      </w:r>
      <w:proofErr w:type="gramEnd"/>
      <w:r>
        <w:rPr>
          <w:rFonts w:ascii="Times New Roman" w:hAnsi="Times New Roman" w:hint="eastAsia"/>
        </w:rPr>
        <w:t>可用）</w:t>
      </w:r>
      <w:r>
        <w:rPr>
          <w:rFonts w:ascii="Times New Roman" w:hAnsi="Times New Roman"/>
        </w:rPr>
        <w:t>配置风险管理流程</w:t>
      </w:r>
    </w:p>
    <w:p w:rsidR="0033215C" w:rsidRDefault="00AD63BF">
      <w:pPr>
        <w:pStyle w:val="affffff4"/>
        <w:numPr>
          <w:ilvl w:val="0"/>
          <w:numId w:val="30"/>
        </w:numPr>
        <w:spacing w:before="240" w:after="240"/>
        <w:ind w:left="0"/>
      </w:pPr>
      <w:bookmarkStart w:id="87" w:name="_Toc89355802"/>
      <w:bookmarkStart w:id="88" w:name="_Toc118293437"/>
      <w:r>
        <w:rPr>
          <w:rFonts w:hint="eastAsia"/>
        </w:rPr>
        <w:t>应用软件工具的功能</w:t>
      </w:r>
      <w:bookmarkEnd w:id="87"/>
      <w:bookmarkEnd w:id="88"/>
    </w:p>
    <w:p w:rsidR="0033215C" w:rsidRDefault="00AD63BF">
      <w:pPr>
        <w:pStyle w:val="afffffffffff6"/>
        <w:tabs>
          <w:tab w:val="center" w:pos="1134"/>
        </w:tabs>
      </w:pPr>
      <w:r>
        <w:rPr>
          <w:rFonts w:hint="eastAsia"/>
        </w:rPr>
        <w:t>核电厂宜使用专门的软件工具开展配置风险管理工作，一般地称其为风险监测系统。风险监测系统应至少具备支持内部事件一级、二级PSA模型的能力，有条件的可以考虑支持全范围PSA模型。</w:t>
      </w:r>
    </w:p>
    <w:p w:rsidR="0033215C" w:rsidRDefault="00AD63BF">
      <w:pPr>
        <w:pStyle w:val="afffffffffff6"/>
        <w:tabs>
          <w:tab w:val="center" w:pos="1134"/>
        </w:tabs>
      </w:pPr>
      <w:r>
        <w:rPr>
          <w:rFonts w:hint="eastAsia"/>
        </w:rPr>
        <w:t>选择一定数量的典型案例，比较PSA软件（实时风险模型）和风险监测器的计算结果。在相同条件下（如相同截断值、相同电厂配置下）计算得到的结果应基本保持一致，差别具有可解释性。</w:t>
      </w:r>
    </w:p>
    <w:p w:rsidR="0033215C" w:rsidRDefault="00AD63BF">
      <w:pPr>
        <w:pStyle w:val="afffffffffff6"/>
        <w:tabs>
          <w:tab w:val="center" w:pos="1134"/>
        </w:tabs>
      </w:pPr>
      <w:r>
        <w:rPr>
          <w:rFonts w:hint="eastAsia"/>
        </w:rPr>
        <w:t>在1E-11</w:t>
      </w:r>
      <w:proofErr w:type="gramStart"/>
      <w:r>
        <w:rPr>
          <w:rFonts w:hint="eastAsia"/>
        </w:rPr>
        <w:t>截断值</w:t>
      </w:r>
      <w:proofErr w:type="gramEnd"/>
      <w:r>
        <w:rPr>
          <w:rFonts w:hint="eastAsia"/>
        </w:rPr>
        <w:t>下进行电厂风险计算，内部事件CDF、LERF和ACT计算时间应小于1分钟。</w:t>
      </w:r>
    </w:p>
    <w:p w:rsidR="0033215C" w:rsidRDefault="00AD63BF">
      <w:pPr>
        <w:pStyle w:val="afffffffffff6"/>
        <w:tabs>
          <w:tab w:val="center" w:pos="1134"/>
        </w:tabs>
      </w:pPr>
      <w:r>
        <w:rPr>
          <w:rFonts w:hint="eastAsia"/>
        </w:rPr>
        <w:t>风险监测器软件如果为了实现自动读取信息等功能，与核电厂信息系统相连接，不应对核电厂控制和保护系统产生任何影响。</w:t>
      </w:r>
    </w:p>
    <w:p w:rsidR="0033215C" w:rsidRDefault="00AD63BF">
      <w:pPr>
        <w:pStyle w:val="afffffffffff6"/>
        <w:tabs>
          <w:tab w:val="center" w:pos="1134"/>
        </w:tabs>
      </w:pPr>
      <w:r>
        <w:rPr>
          <w:rFonts w:hint="eastAsia"/>
        </w:rPr>
        <w:t>风险监测器软件的平均无故障（故障是指无法执行风险监测器功能或出现计算结果错误，且无法在短期内恢复的情况）时间大于6个月。</w:t>
      </w:r>
    </w:p>
    <w:p w:rsidR="0033215C" w:rsidRDefault="00AD63BF">
      <w:pPr>
        <w:pStyle w:val="afffffffffff6"/>
        <w:tabs>
          <w:tab w:val="center" w:pos="1134"/>
        </w:tabs>
      </w:pPr>
      <w:r>
        <w:rPr>
          <w:rFonts w:hint="eastAsia"/>
        </w:rPr>
        <w:t>风险监测器软件发生故障的平均维修时间小于3小时。</w:t>
      </w:r>
    </w:p>
    <w:p w:rsidR="0033215C" w:rsidRDefault="00AD63BF">
      <w:pPr>
        <w:pStyle w:val="afffffffffff6"/>
        <w:tabs>
          <w:tab w:val="center" w:pos="1134"/>
        </w:tabs>
      </w:pPr>
      <w:r>
        <w:rPr>
          <w:rFonts w:hint="eastAsia"/>
        </w:rPr>
        <w:t>应在符合设计要求的网络、硬件、系统软件和实时数据接口等环境安装配置风险监测器软件。</w:t>
      </w:r>
    </w:p>
    <w:p w:rsidR="0033215C" w:rsidRDefault="00AD63BF">
      <w:pPr>
        <w:pStyle w:val="afffffffffff6"/>
        <w:tabs>
          <w:tab w:val="center" w:pos="1134"/>
        </w:tabs>
      </w:pPr>
      <w:r>
        <w:rPr>
          <w:rFonts w:hint="eastAsia"/>
        </w:rPr>
        <w:t>因网络、硬件和系统软件环境</w:t>
      </w:r>
      <w:proofErr w:type="gramStart"/>
      <w:r>
        <w:rPr>
          <w:rFonts w:hint="eastAsia"/>
        </w:rPr>
        <w:t>不</w:t>
      </w:r>
      <w:proofErr w:type="gramEnd"/>
      <w:r>
        <w:rPr>
          <w:rFonts w:hint="eastAsia"/>
        </w:rPr>
        <w:t>可用或故障造成的风险监测器软件不可用时间每年不超过6天。</w:t>
      </w:r>
    </w:p>
    <w:p w:rsidR="0033215C" w:rsidRDefault="00AD63BF">
      <w:pPr>
        <w:pStyle w:val="afffffffffff6"/>
        <w:tabs>
          <w:tab w:val="center" w:pos="1134"/>
        </w:tabs>
      </w:pPr>
      <w:r>
        <w:rPr>
          <w:rFonts w:hint="eastAsia"/>
        </w:rPr>
        <w:t>应制定管理要求，定期确认风险监测器软件的可用性（包括根据配置风险管理要求开展的定期或非定期风险评估，及单纯为确保风险监测器软件可用性开展的定期运维等）。</w:t>
      </w:r>
    </w:p>
    <w:p w:rsidR="0033215C" w:rsidRDefault="00AD63BF">
      <w:pPr>
        <w:pStyle w:val="afffffffffff6"/>
        <w:tabs>
          <w:tab w:val="center" w:pos="1134"/>
        </w:tabs>
      </w:pPr>
      <w:r>
        <w:rPr>
          <w:rFonts w:hint="eastAsia"/>
        </w:rPr>
        <w:t>风险监测系统应能够满足下述</w:t>
      </w:r>
      <w:r w:rsidR="00DF5427">
        <w:fldChar w:fldCharType="begin"/>
      </w:r>
      <w:r w:rsidR="00DF5427">
        <w:instrText xml:space="preserve"> </w:instrText>
      </w:r>
      <w:r w:rsidR="00DF5427">
        <w:rPr>
          <w:rFonts w:hint="eastAsia"/>
        </w:rPr>
        <w:instrText>REF _Ref118708220 \h</w:instrText>
      </w:r>
      <w:r w:rsidR="00DF5427">
        <w:instrText xml:space="preserve"> </w:instrText>
      </w:r>
      <w:r w:rsidR="00DF5427">
        <w:fldChar w:fldCharType="separate"/>
      </w:r>
      <w:r w:rsidR="00DF5427" w:rsidRPr="00DF5427">
        <w:rPr>
          <w:rFonts w:ascii="Times New Roman" w:hAnsi="Times New Roman" w:hint="eastAsia"/>
        </w:rPr>
        <w:t>图</w:t>
      </w:r>
      <w:r w:rsidR="00DF5427" w:rsidRPr="00DF5427">
        <w:rPr>
          <w:rFonts w:ascii="Times New Roman" w:hAnsi="Times New Roman" w:hint="eastAsia"/>
        </w:rPr>
        <w:t xml:space="preserve"> </w:t>
      </w:r>
      <w:r w:rsidR="00DF5427" w:rsidRPr="00DF5427">
        <w:rPr>
          <w:rFonts w:ascii="Times New Roman" w:hAnsi="Times New Roman"/>
        </w:rPr>
        <w:t>5</w:t>
      </w:r>
      <w:r w:rsidR="00DF5427">
        <w:fldChar w:fldCharType="end"/>
      </w:r>
      <w:r>
        <w:rPr>
          <w:rFonts w:hint="eastAsia"/>
        </w:rPr>
        <w:t>数据流的输入与输出。</w:t>
      </w:r>
    </w:p>
    <w:p w:rsidR="0033215C" w:rsidRDefault="0033215C">
      <w:pPr>
        <w:tabs>
          <w:tab w:val="left" w:pos="720"/>
        </w:tabs>
        <w:jc w:val="center"/>
        <w:rPr>
          <w:color w:val="000000"/>
        </w:rPr>
      </w:pPr>
    </w:p>
    <w:p w:rsidR="00DF5427" w:rsidRDefault="00AD63BF" w:rsidP="00DF5427">
      <w:pPr>
        <w:pStyle w:val="ARISTEXT"/>
        <w:keepNext/>
        <w:jc w:val="center"/>
        <w:rPr>
          <w:rFonts w:hint="eastAsia"/>
        </w:rPr>
      </w:pPr>
      <w:r>
        <w:object w:dxaOrig="9053" w:dyaOrig="6211">
          <v:shape id="_x0000_i1029" type="#_x0000_t75" style="width:452.4pt;height:310.55pt" o:ole="">
            <v:imagedata r:id="rId27" o:title=""/>
          </v:shape>
          <o:OLEObject Type="Embed" ProgID="Visio.Drawing.11" ShapeID="_x0000_i1029" DrawAspect="Content" ObjectID="_1729600894" r:id="rId28"/>
        </w:object>
      </w:r>
    </w:p>
    <w:p w:rsidR="0033215C" w:rsidRPr="00DF5427" w:rsidRDefault="00DF5427" w:rsidP="00DF5427">
      <w:pPr>
        <w:pStyle w:val="ARISTEXT"/>
        <w:spacing w:before="120" w:after="120"/>
        <w:jc w:val="center"/>
        <w:rPr>
          <w:rFonts w:ascii="Times New Roman" w:hAnsi="Times New Roman"/>
        </w:rPr>
      </w:pPr>
      <w:bookmarkStart w:id="89" w:name="_Ref118708220"/>
      <w:r w:rsidRPr="00DF5427">
        <w:rPr>
          <w:rFonts w:ascii="Times New Roman" w:hAnsi="Times New Roman" w:hint="eastAsia"/>
        </w:rPr>
        <w:t>图</w:t>
      </w:r>
      <w:r w:rsidRPr="00DF5427">
        <w:rPr>
          <w:rFonts w:ascii="Times New Roman" w:hAnsi="Times New Roman" w:hint="eastAsia"/>
        </w:rPr>
        <w:t xml:space="preserve"> </w:t>
      </w:r>
      <w:r w:rsidRPr="00DF5427">
        <w:rPr>
          <w:rFonts w:ascii="Times New Roman" w:hAnsi="Times New Roman"/>
        </w:rPr>
        <w:fldChar w:fldCharType="begin"/>
      </w:r>
      <w:r w:rsidRPr="00DF5427">
        <w:rPr>
          <w:rFonts w:ascii="Times New Roman" w:hAnsi="Times New Roman"/>
        </w:rPr>
        <w:instrText xml:space="preserve"> </w:instrText>
      </w:r>
      <w:r w:rsidRPr="00DF5427">
        <w:rPr>
          <w:rFonts w:ascii="Times New Roman" w:hAnsi="Times New Roman" w:hint="eastAsia"/>
        </w:rPr>
        <w:instrText xml:space="preserve">SEQ </w:instrText>
      </w:r>
      <w:r w:rsidRPr="00DF5427">
        <w:rPr>
          <w:rFonts w:ascii="Times New Roman" w:hAnsi="Times New Roman" w:hint="eastAsia"/>
        </w:rPr>
        <w:instrText>图</w:instrText>
      </w:r>
      <w:r w:rsidRPr="00DF5427">
        <w:rPr>
          <w:rFonts w:ascii="Times New Roman" w:hAnsi="Times New Roman" w:hint="eastAsia"/>
        </w:rPr>
        <w:instrText xml:space="preserve"> \* ARABIC</w:instrText>
      </w:r>
      <w:r w:rsidRPr="00DF5427">
        <w:rPr>
          <w:rFonts w:ascii="Times New Roman" w:hAnsi="Times New Roman"/>
        </w:rPr>
        <w:instrText xml:space="preserve"> </w:instrText>
      </w:r>
      <w:r w:rsidRPr="00DF5427">
        <w:rPr>
          <w:rFonts w:ascii="Times New Roman" w:hAnsi="Times New Roman"/>
        </w:rPr>
        <w:fldChar w:fldCharType="separate"/>
      </w:r>
      <w:r w:rsidRPr="00DF5427">
        <w:rPr>
          <w:rFonts w:ascii="Times New Roman" w:hAnsi="Times New Roman"/>
        </w:rPr>
        <w:t>5</w:t>
      </w:r>
      <w:r w:rsidRPr="00DF5427">
        <w:rPr>
          <w:rFonts w:ascii="Times New Roman" w:hAnsi="Times New Roman"/>
        </w:rPr>
        <w:fldChar w:fldCharType="end"/>
      </w:r>
      <w:bookmarkEnd w:id="89"/>
      <w:r w:rsidRPr="00DF5427">
        <w:rPr>
          <w:rFonts w:ascii="Times New Roman" w:hAnsi="Times New Roman" w:hint="eastAsia"/>
        </w:rPr>
        <w:t xml:space="preserve"> </w:t>
      </w:r>
      <w:r w:rsidRPr="00DF5427">
        <w:rPr>
          <w:rFonts w:ascii="Times New Roman" w:hAnsi="Times New Roman" w:hint="eastAsia"/>
        </w:rPr>
        <w:t>风险监测系统数据关系图</w:t>
      </w:r>
    </w:p>
    <w:p w:rsidR="0033215C" w:rsidRDefault="0033215C">
      <w:pPr>
        <w:pStyle w:val="afffffffffff6"/>
      </w:pPr>
    </w:p>
    <w:p w:rsidR="0033215C" w:rsidRDefault="00AD63BF">
      <w:pPr>
        <w:pStyle w:val="affffff4"/>
        <w:numPr>
          <w:ilvl w:val="0"/>
          <w:numId w:val="30"/>
        </w:numPr>
        <w:spacing w:before="240" w:after="240"/>
        <w:ind w:left="0"/>
      </w:pPr>
      <w:bookmarkStart w:id="90" w:name="_Toc89355803"/>
      <w:bookmarkStart w:id="91" w:name="_Toc118293438"/>
      <w:r>
        <w:rPr>
          <w:rFonts w:hint="eastAsia"/>
        </w:rPr>
        <w:t>培训与文档</w:t>
      </w:r>
      <w:bookmarkEnd w:id="90"/>
      <w:bookmarkEnd w:id="91"/>
    </w:p>
    <w:p w:rsidR="0033215C" w:rsidRDefault="00AD63BF">
      <w:pPr>
        <w:pStyle w:val="afffffffffff6"/>
      </w:pPr>
      <w:r>
        <w:rPr>
          <w:rFonts w:hint="eastAsia"/>
        </w:rPr>
        <w:lastRenderedPageBreak/>
        <w:t>核电厂应组织对生产计划、大修管理、运行、核安全、安全分析等部门或岗位人员进行技术培训，包括对PSA模型、风险阈值与管理矩阵、软件操作与结果解读等。</w:t>
      </w:r>
    </w:p>
    <w:p w:rsidR="0033215C" w:rsidRDefault="00AD63BF">
      <w:pPr>
        <w:pStyle w:val="afffffffffff6"/>
      </w:pPr>
      <w:r>
        <w:rPr>
          <w:rFonts w:hint="eastAsia"/>
        </w:rPr>
        <w:t>核电厂的操作过程应留有记录，便于查询。</w:t>
      </w:r>
    </w:p>
    <w:p w:rsidR="0033215C" w:rsidRDefault="00AD63BF">
      <w:pPr>
        <w:pStyle w:val="affff7"/>
        <w:ind w:firstLineChars="0" w:firstLine="0"/>
      </w:pPr>
      <w:r>
        <w:rPr>
          <w:noProof/>
        </w:rPr>
        <w:drawing>
          <wp:inline distT="0" distB="0" distL="0" distR="0">
            <wp:extent cx="1483995" cy="319405"/>
            <wp:effectExtent l="0" t="0" r="1905" b="444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483995" cy="319405"/>
                    </a:xfrm>
                    <a:prstGeom prst="rect">
                      <a:avLst/>
                    </a:prstGeom>
                    <a:noFill/>
                    <a:ln>
                      <a:noFill/>
                    </a:ln>
                  </pic:spPr>
                </pic:pic>
              </a:graphicData>
            </a:graphic>
          </wp:inline>
        </w:drawing>
      </w:r>
      <w:bookmarkEnd w:id="35"/>
    </w:p>
    <w:sectPr w:rsidR="0033215C">
      <w:pgSz w:w="11906" w:h="16838"/>
      <w:pgMar w:top="567" w:right="1134" w:bottom="1134" w:left="1134" w:header="1418" w:footer="1134" w:gutter="284"/>
      <w:pgNumType w:start="1"/>
      <w:cols w:space="425"/>
      <w:formProt w:val="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3D6ABE" w15:done="0"/>
  <w15:commentEx w15:paraId="4F8759EC" w15:done="0"/>
  <w15:commentEx w15:paraId="3A6A3333" w15:done="0"/>
  <w15:commentEx w15:paraId="0FB34F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DEC" w:rsidRDefault="00C93DEC">
      <w:pPr>
        <w:spacing w:line="240" w:lineRule="auto"/>
      </w:pPr>
      <w:r>
        <w:separator/>
      </w:r>
    </w:p>
  </w:endnote>
  <w:endnote w:type="continuationSeparator" w:id="0">
    <w:p w:rsidR="00C93DEC" w:rsidRDefault="00C93D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AD63BF">
    <w:pPr>
      <w:pStyle w:val="a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33215C">
    <w:pPr>
      <w:pStyle w:val="afff5"/>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AD63BF">
    <w:pPr>
      <w:pStyle w:val="affff4"/>
    </w:pPr>
    <w:r>
      <w:fldChar w:fldCharType="begin"/>
    </w:r>
    <w:r>
      <w:instrText>PAGE   \* MERGEFORMAT</w:instrText>
    </w:r>
    <w:r>
      <w:fldChar w:fldCharType="separate"/>
    </w:r>
    <w:r w:rsidR="008F101D" w:rsidRPr="008F101D">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DEC" w:rsidRDefault="00C93DEC">
      <w:pPr>
        <w:spacing w:line="240" w:lineRule="auto"/>
      </w:pPr>
      <w:r>
        <w:separator/>
      </w:r>
    </w:p>
  </w:footnote>
  <w:footnote w:type="continuationSeparator" w:id="0">
    <w:p w:rsidR="00C93DEC" w:rsidRDefault="00C93DE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AD63BF">
    <w:pPr>
      <w:pStyle w:val="a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33215C">
    <w:pPr>
      <w:pStyle w:val="afff6"/>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AD63BF">
    <w:pPr>
      <w:pStyle w:val="a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15C" w:rsidRDefault="00AD63BF">
    <w:pPr>
      <w:pStyle w:val="affffc"/>
    </w:pPr>
    <w:r>
      <w:fldChar w:fldCharType="begin"/>
    </w:r>
    <w:r>
      <w:instrText xml:space="preserve"> STYLEREF  标准文件_文件编号  \* MERGEFORMAT </w:instrText>
    </w:r>
    <w:r>
      <w:fldChar w:fldCharType="separate"/>
    </w:r>
    <w:r w:rsidR="008F101D">
      <w:rPr>
        <w:noProof/>
      </w:rPr>
      <w:t>T/XXX XXXX</w:t>
    </w:r>
    <w:r w:rsidR="008F101D">
      <w:rPr>
        <w:noProof/>
      </w:rPr>
      <w:t>—</w:t>
    </w:r>
    <w:r w:rsidR="008F101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5B2E8F"/>
    <w:multiLevelType w:val="multilevel"/>
    <w:tmpl w:val="1F5B2E8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FC91163"/>
    <w:multiLevelType w:val="multilevel"/>
    <w:tmpl w:val="1FC91163"/>
    <w:lvl w:ilvl="0">
      <w:start w:val="1"/>
      <w:numFmt w:val="decimal"/>
      <w:suff w:val="nothing"/>
      <w:lvlText w:val="%1　"/>
      <w:lvlJc w:val="left"/>
      <w:pPr>
        <w:ind w:left="284" w:firstLine="0"/>
      </w:pPr>
      <w:rPr>
        <w:rFonts w:ascii="黑体" w:eastAsia="黑体" w:hAnsi="Times New Roman" w:hint="eastAsia"/>
        <w:b w:val="0"/>
        <w:i w:val="0"/>
        <w:sz w:val="21"/>
        <w:szCs w:val="21"/>
      </w:rPr>
    </w:lvl>
    <w:lvl w:ilvl="1">
      <w:start w:val="1"/>
      <w:numFmt w:val="decimal"/>
      <w:pStyle w:val="af2"/>
      <w:suff w:val="nothing"/>
      <w:lvlText w:val="%1.%2　"/>
      <w:lvlJc w:val="left"/>
      <w:pPr>
        <w:ind w:left="113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198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2CCD7C6F"/>
    <w:multiLevelType w:val="multilevel"/>
    <w:tmpl w:val="2CCD7C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D6A06A7"/>
    <w:multiLevelType w:val="multilevel"/>
    <w:tmpl w:val="2D6A06A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3DBD3794"/>
    <w:multiLevelType w:val="multilevel"/>
    <w:tmpl w:val="3DBD37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802D1C"/>
    <w:multiLevelType w:val="multilevel"/>
    <w:tmpl w:val="48802D1C"/>
    <w:lvl w:ilvl="0">
      <w:start w:val="1"/>
      <w:numFmt w:val="upperLetter"/>
      <w:pStyle w:val="af6"/>
      <w:lvlText w:val="%1"/>
      <w:lvlJc w:val="left"/>
      <w:pPr>
        <w:ind w:left="420" w:hanging="420"/>
      </w:pPr>
      <w:rPr>
        <w:rFonts w:hint="eastAsia"/>
      </w:rPr>
    </w:lvl>
    <w:lvl w:ilvl="1">
      <w:start w:val="1"/>
      <w:numFmt w:val="decimal"/>
      <w:pStyle w:val="af7"/>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8"/>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C104B66"/>
    <w:multiLevelType w:val="multilevel"/>
    <w:tmpl w:val="4C104B6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1560" w:firstLine="0"/>
      </w:pPr>
      <w:rPr>
        <w:rFonts w:hint="eastAsia"/>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20">
    <w:nsid w:val="4E5254B9"/>
    <w:multiLevelType w:val="multilevel"/>
    <w:tmpl w:val="4E5254B9"/>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4E5D0534"/>
    <w:multiLevelType w:val="multilevel"/>
    <w:tmpl w:val="4E5D0534"/>
    <w:lvl w:ilvl="0">
      <w:start w:val="1"/>
      <w:numFmt w:val="decimal"/>
      <w:pStyle w:val="af9"/>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4632751"/>
    <w:multiLevelType w:val="multilevel"/>
    <w:tmpl w:val="54632751"/>
    <w:lvl w:ilvl="0">
      <w:start w:val="1"/>
      <w:numFmt w:val="none"/>
      <w:pStyle w:val="afa"/>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b"/>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c"/>
      <w:suff w:val="space"/>
      <w:lvlText w:val="%1"/>
      <w:lvlJc w:val="left"/>
      <w:pPr>
        <w:ind w:left="425" w:hanging="425"/>
      </w:pPr>
      <w:rPr>
        <w:rFonts w:hint="eastAsia"/>
      </w:rPr>
    </w:lvl>
    <w:lvl w:ilvl="1">
      <w:start w:val="1"/>
      <w:numFmt w:val="decimal"/>
      <w:pStyle w:val="afd"/>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0"/>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7992B0E"/>
    <w:multiLevelType w:val="multilevel"/>
    <w:tmpl w:val="67992B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DBF04F4"/>
    <w:multiLevelType w:val="multilevel"/>
    <w:tmpl w:val="6DBF04F4"/>
    <w:lvl w:ilvl="0">
      <w:start w:val="1"/>
      <w:numFmt w:val="none"/>
      <w:pStyle w:val="a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29"/>
  </w:num>
  <w:num w:numId="4">
    <w:abstractNumId w:val="24"/>
  </w:num>
  <w:num w:numId="5">
    <w:abstractNumId w:val="17"/>
  </w:num>
  <w:num w:numId="6">
    <w:abstractNumId w:val="8"/>
  </w:num>
  <w:num w:numId="7">
    <w:abstractNumId w:val="3"/>
  </w:num>
  <w:num w:numId="8">
    <w:abstractNumId w:val="9"/>
  </w:num>
  <w:num w:numId="9">
    <w:abstractNumId w:val="22"/>
  </w:num>
  <w:num w:numId="10">
    <w:abstractNumId w:val="32"/>
  </w:num>
  <w:num w:numId="11">
    <w:abstractNumId w:val="15"/>
  </w:num>
  <w:num w:numId="12">
    <w:abstractNumId w:val="7"/>
  </w:num>
  <w:num w:numId="13">
    <w:abstractNumId w:val="25"/>
  </w:num>
  <w:num w:numId="14">
    <w:abstractNumId w:val="27"/>
  </w:num>
  <w:num w:numId="15">
    <w:abstractNumId w:val="23"/>
  </w:num>
  <w:num w:numId="16">
    <w:abstractNumId w:val="35"/>
  </w:num>
  <w:num w:numId="17">
    <w:abstractNumId w:val="21"/>
  </w:num>
  <w:num w:numId="18">
    <w:abstractNumId w:val="1"/>
  </w:num>
  <w:num w:numId="19">
    <w:abstractNumId w:val="12"/>
  </w:num>
  <w:num w:numId="20">
    <w:abstractNumId w:val="36"/>
  </w:num>
  <w:num w:numId="21">
    <w:abstractNumId w:val="26"/>
  </w:num>
  <w:num w:numId="22">
    <w:abstractNumId w:val="6"/>
  </w:num>
  <w:num w:numId="23">
    <w:abstractNumId w:val="33"/>
  </w:num>
  <w:num w:numId="24">
    <w:abstractNumId w:val="34"/>
  </w:num>
  <w:num w:numId="25">
    <w:abstractNumId w:val="2"/>
  </w:num>
  <w:num w:numId="26">
    <w:abstractNumId w:val="4"/>
  </w:num>
  <w:num w:numId="27">
    <w:abstractNumId w:val="18"/>
  </w:num>
  <w:num w:numId="28">
    <w:abstractNumId w:val="31"/>
  </w:num>
  <w:num w:numId="29">
    <w:abstractNumId w:val="28"/>
  </w:num>
  <w:num w:numId="30">
    <w:abstractNumId w:val="11"/>
  </w:num>
  <w:num w:numId="31">
    <w:abstractNumId w:val="19"/>
  </w:num>
  <w:num w:numId="32">
    <w:abstractNumId w:val="10"/>
  </w:num>
  <w:num w:numId="33">
    <w:abstractNumId w:val="20"/>
  </w:num>
  <w:num w:numId="34">
    <w:abstractNumId w:val="16"/>
  </w:num>
  <w:num w:numId="35">
    <w:abstractNumId w:val="13"/>
  </w:num>
  <w:num w:numId="36">
    <w:abstractNumId w:val="30"/>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友谊">
    <w15:presenceInfo w15:providerId="WPS Office" w15:userId="135530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2YTFlZmIxNjk0ZDk0NmNiODI4OGNjNmI4YTU0ZDcifQ=="/>
  </w:docVars>
  <w:rsids>
    <w:rsidRoot w:val="00850A0F"/>
    <w:rsid w:val="00000202"/>
    <w:rsid w:val="0000040A"/>
    <w:rsid w:val="00000A94"/>
    <w:rsid w:val="00001972"/>
    <w:rsid w:val="00001D9A"/>
    <w:rsid w:val="00007B3A"/>
    <w:rsid w:val="000107E0"/>
    <w:rsid w:val="00010D6E"/>
    <w:rsid w:val="00011FDE"/>
    <w:rsid w:val="00012FFD"/>
    <w:rsid w:val="00014162"/>
    <w:rsid w:val="00014340"/>
    <w:rsid w:val="00016A9C"/>
    <w:rsid w:val="00020764"/>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102"/>
    <w:rsid w:val="000464B9"/>
    <w:rsid w:val="00047F28"/>
    <w:rsid w:val="000503AA"/>
    <w:rsid w:val="000506A1"/>
    <w:rsid w:val="000515DD"/>
    <w:rsid w:val="0005265A"/>
    <w:rsid w:val="000539DD"/>
    <w:rsid w:val="00053BD3"/>
    <w:rsid w:val="000556ED"/>
    <w:rsid w:val="00055FE2"/>
    <w:rsid w:val="0005616F"/>
    <w:rsid w:val="00057E67"/>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60"/>
    <w:rsid w:val="00092FB0"/>
    <w:rsid w:val="000934C5"/>
    <w:rsid w:val="00093D25"/>
    <w:rsid w:val="00093D9E"/>
    <w:rsid w:val="00093DAB"/>
    <w:rsid w:val="00094D73"/>
    <w:rsid w:val="00096D63"/>
    <w:rsid w:val="000A0B60"/>
    <w:rsid w:val="000A0EB8"/>
    <w:rsid w:val="000A19FC"/>
    <w:rsid w:val="000A296B"/>
    <w:rsid w:val="000A7311"/>
    <w:rsid w:val="000B060F"/>
    <w:rsid w:val="000B1592"/>
    <w:rsid w:val="000B1FF2"/>
    <w:rsid w:val="000B3CDA"/>
    <w:rsid w:val="000B5D6C"/>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8D1"/>
    <w:rsid w:val="00141114"/>
    <w:rsid w:val="00142969"/>
    <w:rsid w:val="001446C2"/>
    <w:rsid w:val="001457E7"/>
    <w:rsid w:val="00145D9D"/>
    <w:rsid w:val="00146388"/>
    <w:rsid w:val="00151918"/>
    <w:rsid w:val="001529E5"/>
    <w:rsid w:val="00152FB3"/>
    <w:rsid w:val="001534C2"/>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A56"/>
    <w:rsid w:val="001C2351"/>
    <w:rsid w:val="001C2C03"/>
    <w:rsid w:val="001C42F7"/>
    <w:rsid w:val="001C49E5"/>
    <w:rsid w:val="001C680C"/>
    <w:rsid w:val="001C7FEA"/>
    <w:rsid w:val="001D0499"/>
    <w:rsid w:val="001D0BBE"/>
    <w:rsid w:val="001D0ED4"/>
    <w:rsid w:val="001D212F"/>
    <w:rsid w:val="001D29D7"/>
    <w:rsid w:val="001D2DE7"/>
    <w:rsid w:val="001D3FED"/>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327"/>
    <w:rsid w:val="002040E6"/>
    <w:rsid w:val="0020527B"/>
    <w:rsid w:val="00205F2C"/>
    <w:rsid w:val="00210B15"/>
    <w:rsid w:val="002142EA"/>
    <w:rsid w:val="00215ADD"/>
    <w:rsid w:val="002204BB"/>
    <w:rsid w:val="00221B79"/>
    <w:rsid w:val="00221C6B"/>
    <w:rsid w:val="002253A1"/>
    <w:rsid w:val="00225CF8"/>
    <w:rsid w:val="0022794E"/>
    <w:rsid w:val="00231CF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B24"/>
    <w:rsid w:val="00281BB8"/>
    <w:rsid w:val="00281E9E"/>
    <w:rsid w:val="00282405"/>
    <w:rsid w:val="00285170"/>
    <w:rsid w:val="00285361"/>
    <w:rsid w:val="00292D60"/>
    <w:rsid w:val="00293B30"/>
    <w:rsid w:val="00294D34"/>
    <w:rsid w:val="00294E3B"/>
    <w:rsid w:val="00296193"/>
    <w:rsid w:val="00296C66"/>
    <w:rsid w:val="00296EBE"/>
    <w:rsid w:val="002974E3"/>
    <w:rsid w:val="00297C62"/>
    <w:rsid w:val="002A084B"/>
    <w:rsid w:val="002A1260"/>
    <w:rsid w:val="002A1589"/>
    <w:rsid w:val="002A1608"/>
    <w:rsid w:val="002A25DC"/>
    <w:rsid w:val="002A3AAB"/>
    <w:rsid w:val="002A4CEA"/>
    <w:rsid w:val="002A5977"/>
    <w:rsid w:val="002A5A13"/>
    <w:rsid w:val="002A757F"/>
    <w:rsid w:val="002A7F44"/>
    <w:rsid w:val="002B0C40"/>
    <w:rsid w:val="002B1966"/>
    <w:rsid w:val="002B200A"/>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CF1"/>
    <w:rsid w:val="00317988"/>
    <w:rsid w:val="003221B4"/>
    <w:rsid w:val="0032258D"/>
    <w:rsid w:val="00322E62"/>
    <w:rsid w:val="00324D13"/>
    <w:rsid w:val="00324EDD"/>
    <w:rsid w:val="0033215C"/>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9C4"/>
    <w:rsid w:val="003B09AD"/>
    <w:rsid w:val="003B1F18"/>
    <w:rsid w:val="003B5BF0"/>
    <w:rsid w:val="003B60BF"/>
    <w:rsid w:val="003B6BE3"/>
    <w:rsid w:val="003C010C"/>
    <w:rsid w:val="003C0A6C"/>
    <w:rsid w:val="003C14F8"/>
    <w:rsid w:val="003C3BA1"/>
    <w:rsid w:val="003C5A43"/>
    <w:rsid w:val="003D0519"/>
    <w:rsid w:val="003D0FF6"/>
    <w:rsid w:val="003D262C"/>
    <w:rsid w:val="003D6D61"/>
    <w:rsid w:val="003E091D"/>
    <w:rsid w:val="003E0CA5"/>
    <w:rsid w:val="003E1C53"/>
    <w:rsid w:val="003E2A69"/>
    <w:rsid w:val="003E2D49"/>
    <w:rsid w:val="003E2FD4"/>
    <w:rsid w:val="003E49F6"/>
    <w:rsid w:val="003E660F"/>
    <w:rsid w:val="003F0841"/>
    <w:rsid w:val="003F23D3"/>
    <w:rsid w:val="003F25E8"/>
    <w:rsid w:val="003F3F08"/>
    <w:rsid w:val="003F49F1"/>
    <w:rsid w:val="003F6272"/>
    <w:rsid w:val="00400E72"/>
    <w:rsid w:val="00401400"/>
    <w:rsid w:val="0040470C"/>
    <w:rsid w:val="00404869"/>
    <w:rsid w:val="004054F0"/>
    <w:rsid w:val="00405884"/>
    <w:rsid w:val="00407D39"/>
    <w:rsid w:val="0041477A"/>
    <w:rsid w:val="004167A3"/>
    <w:rsid w:val="00432DAA"/>
    <w:rsid w:val="00434305"/>
    <w:rsid w:val="00434691"/>
    <w:rsid w:val="00435DF7"/>
    <w:rsid w:val="0044083F"/>
    <w:rsid w:val="00441AE7"/>
    <w:rsid w:val="00443E45"/>
    <w:rsid w:val="00445574"/>
    <w:rsid w:val="004467FB"/>
    <w:rsid w:val="0045243A"/>
    <w:rsid w:val="00452D6B"/>
    <w:rsid w:val="00454484"/>
    <w:rsid w:val="0045517B"/>
    <w:rsid w:val="00457CC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107"/>
    <w:rsid w:val="004A12DF"/>
    <w:rsid w:val="004A1BA8"/>
    <w:rsid w:val="004A4B57"/>
    <w:rsid w:val="004A63FA"/>
    <w:rsid w:val="004A6A3D"/>
    <w:rsid w:val="004B0272"/>
    <w:rsid w:val="004B2701"/>
    <w:rsid w:val="004B2D46"/>
    <w:rsid w:val="004B2E1B"/>
    <w:rsid w:val="004B3AA8"/>
    <w:rsid w:val="004B3E93"/>
    <w:rsid w:val="004C0CF5"/>
    <w:rsid w:val="004C1FBC"/>
    <w:rsid w:val="004C25A2"/>
    <w:rsid w:val="004C3F1D"/>
    <w:rsid w:val="004C458D"/>
    <w:rsid w:val="004C7556"/>
    <w:rsid w:val="004C7E8B"/>
    <w:rsid w:val="004C7E9D"/>
    <w:rsid w:val="004C7F67"/>
    <w:rsid w:val="004D076D"/>
    <w:rsid w:val="004D0EF1"/>
    <w:rsid w:val="004D2253"/>
    <w:rsid w:val="004D24A6"/>
    <w:rsid w:val="004D4406"/>
    <w:rsid w:val="004D7C42"/>
    <w:rsid w:val="004E0465"/>
    <w:rsid w:val="004E127B"/>
    <w:rsid w:val="004E1C0A"/>
    <w:rsid w:val="004E2F9F"/>
    <w:rsid w:val="004E30C5"/>
    <w:rsid w:val="004E4AA5"/>
    <w:rsid w:val="004E4AEE"/>
    <w:rsid w:val="004E59E3"/>
    <w:rsid w:val="004E67C0"/>
    <w:rsid w:val="004E7F5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4C0"/>
    <w:rsid w:val="00541853"/>
    <w:rsid w:val="00543BDA"/>
    <w:rsid w:val="005441CC"/>
    <w:rsid w:val="005479DA"/>
    <w:rsid w:val="00547BCC"/>
    <w:rsid w:val="0055013B"/>
    <w:rsid w:val="00551F6F"/>
    <w:rsid w:val="00555044"/>
    <w:rsid w:val="00557F15"/>
    <w:rsid w:val="00561475"/>
    <w:rsid w:val="00562308"/>
    <w:rsid w:val="0056487B"/>
    <w:rsid w:val="00564FB9"/>
    <w:rsid w:val="00573D9E"/>
    <w:rsid w:val="00577125"/>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719"/>
    <w:rsid w:val="005E6812"/>
    <w:rsid w:val="005E7881"/>
    <w:rsid w:val="005E78E0"/>
    <w:rsid w:val="005F0D9C"/>
    <w:rsid w:val="005F284E"/>
    <w:rsid w:val="006015CE"/>
    <w:rsid w:val="00603D8B"/>
    <w:rsid w:val="00604784"/>
    <w:rsid w:val="00606419"/>
    <w:rsid w:val="00607D29"/>
    <w:rsid w:val="00612952"/>
    <w:rsid w:val="00614CC1"/>
    <w:rsid w:val="00615A9D"/>
    <w:rsid w:val="00617387"/>
    <w:rsid w:val="006205D6"/>
    <w:rsid w:val="006219C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90B"/>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B5A"/>
    <w:rsid w:val="006D3E96"/>
    <w:rsid w:val="006D4515"/>
    <w:rsid w:val="006D4BB1"/>
    <w:rsid w:val="006D5E49"/>
    <w:rsid w:val="006D6593"/>
    <w:rsid w:val="006E196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631"/>
    <w:rsid w:val="00765C43"/>
    <w:rsid w:val="00765EFB"/>
    <w:rsid w:val="007671CA"/>
    <w:rsid w:val="00767C61"/>
    <w:rsid w:val="0077008A"/>
    <w:rsid w:val="00773C1F"/>
    <w:rsid w:val="00774DA4"/>
    <w:rsid w:val="00776599"/>
    <w:rsid w:val="0078114B"/>
    <w:rsid w:val="00781DD2"/>
    <w:rsid w:val="00783ECF"/>
    <w:rsid w:val="0078413A"/>
    <w:rsid w:val="00793B96"/>
    <w:rsid w:val="007959E8"/>
    <w:rsid w:val="00795E9C"/>
    <w:rsid w:val="007A0521"/>
    <w:rsid w:val="007A2E12"/>
    <w:rsid w:val="007A3475"/>
    <w:rsid w:val="007A41C8"/>
    <w:rsid w:val="007A54CE"/>
    <w:rsid w:val="007A6FD9"/>
    <w:rsid w:val="007A7FFA"/>
    <w:rsid w:val="007B04EB"/>
    <w:rsid w:val="007B0D4F"/>
    <w:rsid w:val="007B46B8"/>
    <w:rsid w:val="007B5A3D"/>
    <w:rsid w:val="007B5B95"/>
    <w:rsid w:val="007B6032"/>
    <w:rsid w:val="007B68EA"/>
    <w:rsid w:val="007B7453"/>
    <w:rsid w:val="007B7A11"/>
    <w:rsid w:val="007C2D89"/>
    <w:rsid w:val="007C3AB8"/>
    <w:rsid w:val="007C4593"/>
    <w:rsid w:val="007C5309"/>
    <w:rsid w:val="007C6069"/>
    <w:rsid w:val="007D06C4"/>
    <w:rsid w:val="007D1352"/>
    <w:rsid w:val="007D2508"/>
    <w:rsid w:val="007D346A"/>
    <w:rsid w:val="007D6518"/>
    <w:rsid w:val="007D76BD"/>
    <w:rsid w:val="007E0BF1"/>
    <w:rsid w:val="007F0ED8"/>
    <w:rsid w:val="007F0F63"/>
    <w:rsid w:val="007F75CE"/>
    <w:rsid w:val="008005B2"/>
    <w:rsid w:val="008013A4"/>
    <w:rsid w:val="008027CE"/>
    <w:rsid w:val="00802F42"/>
    <w:rsid w:val="00804383"/>
    <w:rsid w:val="00804BB7"/>
    <w:rsid w:val="00804D41"/>
    <w:rsid w:val="00810257"/>
    <w:rsid w:val="008104F5"/>
    <w:rsid w:val="00811072"/>
    <w:rsid w:val="00811369"/>
    <w:rsid w:val="00815419"/>
    <w:rsid w:val="008163C8"/>
    <w:rsid w:val="008164A1"/>
    <w:rsid w:val="00816B60"/>
    <w:rsid w:val="00817325"/>
    <w:rsid w:val="008209E6"/>
    <w:rsid w:val="00823303"/>
    <w:rsid w:val="008233B2"/>
    <w:rsid w:val="00823A9F"/>
    <w:rsid w:val="00823C85"/>
    <w:rsid w:val="00825138"/>
    <w:rsid w:val="008269DD"/>
    <w:rsid w:val="008272C7"/>
    <w:rsid w:val="00830621"/>
    <w:rsid w:val="0083348C"/>
    <w:rsid w:val="008373D3"/>
    <w:rsid w:val="00840617"/>
    <w:rsid w:val="00840F84"/>
    <w:rsid w:val="00842A47"/>
    <w:rsid w:val="00843446"/>
    <w:rsid w:val="00843C13"/>
    <w:rsid w:val="008454F8"/>
    <w:rsid w:val="00850A0F"/>
    <w:rsid w:val="0085173A"/>
    <w:rsid w:val="008603CE"/>
    <w:rsid w:val="008620FC"/>
    <w:rsid w:val="008627A5"/>
    <w:rsid w:val="00863E05"/>
    <w:rsid w:val="00864971"/>
    <w:rsid w:val="00865ACA"/>
    <w:rsid w:val="00865D28"/>
    <w:rsid w:val="00865F85"/>
    <w:rsid w:val="00867C10"/>
    <w:rsid w:val="00870439"/>
    <w:rsid w:val="00870DA1"/>
    <w:rsid w:val="00883F93"/>
    <w:rsid w:val="00884DB3"/>
    <w:rsid w:val="00885A9D"/>
    <w:rsid w:val="008864F6"/>
    <w:rsid w:val="0089049D"/>
    <w:rsid w:val="008906A4"/>
    <w:rsid w:val="008928C9"/>
    <w:rsid w:val="008930CB"/>
    <w:rsid w:val="008938DC"/>
    <w:rsid w:val="00893FD1"/>
    <w:rsid w:val="00894836"/>
    <w:rsid w:val="00895172"/>
    <w:rsid w:val="00895680"/>
    <w:rsid w:val="00896DFF"/>
    <w:rsid w:val="0089762C"/>
    <w:rsid w:val="008A173B"/>
    <w:rsid w:val="008A1893"/>
    <w:rsid w:val="008A388E"/>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2C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01D"/>
    <w:rsid w:val="008F17A3"/>
    <w:rsid w:val="008F1ED3"/>
    <w:rsid w:val="008F4C29"/>
    <w:rsid w:val="008F5588"/>
    <w:rsid w:val="008F70BD"/>
    <w:rsid w:val="008F788F"/>
    <w:rsid w:val="008F7EA2"/>
    <w:rsid w:val="00902722"/>
    <w:rsid w:val="009027BC"/>
    <w:rsid w:val="009062E6"/>
    <w:rsid w:val="0091134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521C"/>
    <w:rsid w:val="009911AF"/>
    <w:rsid w:val="00991875"/>
    <w:rsid w:val="00991F92"/>
    <w:rsid w:val="00992985"/>
    <w:rsid w:val="00993889"/>
    <w:rsid w:val="0099551B"/>
    <w:rsid w:val="00996BD2"/>
    <w:rsid w:val="00997BF1"/>
    <w:rsid w:val="009A089C"/>
    <w:rsid w:val="009A118E"/>
    <w:rsid w:val="009A21CD"/>
    <w:rsid w:val="009A278C"/>
    <w:rsid w:val="009A2948"/>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855"/>
    <w:rsid w:val="009F186D"/>
    <w:rsid w:val="00A0096C"/>
    <w:rsid w:val="00A01757"/>
    <w:rsid w:val="00A028C0"/>
    <w:rsid w:val="00A02BAE"/>
    <w:rsid w:val="00A04B6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36"/>
    <w:rsid w:val="00A6448E"/>
    <w:rsid w:val="00A648CD"/>
    <w:rsid w:val="00A64B18"/>
    <w:rsid w:val="00A6537A"/>
    <w:rsid w:val="00A672BE"/>
    <w:rsid w:val="00A67866"/>
    <w:rsid w:val="00A70B07"/>
    <w:rsid w:val="00A723F8"/>
    <w:rsid w:val="00A76FA4"/>
    <w:rsid w:val="00A77CCB"/>
    <w:rsid w:val="00A83D8D"/>
    <w:rsid w:val="00A8446B"/>
    <w:rsid w:val="00A8473F"/>
    <w:rsid w:val="00A862D6"/>
    <w:rsid w:val="00A8715E"/>
    <w:rsid w:val="00A9295B"/>
    <w:rsid w:val="00A93B09"/>
    <w:rsid w:val="00A952D7"/>
    <w:rsid w:val="00A963E9"/>
    <w:rsid w:val="00A963F7"/>
    <w:rsid w:val="00A96AD8"/>
    <w:rsid w:val="00AA052C"/>
    <w:rsid w:val="00AA1E45"/>
    <w:rsid w:val="00AA4286"/>
    <w:rsid w:val="00AA456B"/>
    <w:rsid w:val="00AA57F5"/>
    <w:rsid w:val="00AA672E"/>
    <w:rsid w:val="00AA6EC9"/>
    <w:rsid w:val="00AB6309"/>
    <w:rsid w:val="00AB6C5F"/>
    <w:rsid w:val="00AB7129"/>
    <w:rsid w:val="00AB77F9"/>
    <w:rsid w:val="00AC27A6"/>
    <w:rsid w:val="00AC30F7"/>
    <w:rsid w:val="00AC3A5A"/>
    <w:rsid w:val="00AC4D95"/>
    <w:rsid w:val="00AC5DF4"/>
    <w:rsid w:val="00AD0AEF"/>
    <w:rsid w:val="00AD11B7"/>
    <w:rsid w:val="00AD1A94"/>
    <w:rsid w:val="00AD1C05"/>
    <w:rsid w:val="00AD4126"/>
    <w:rsid w:val="00AD421C"/>
    <w:rsid w:val="00AD44FA"/>
    <w:rsid w:val="00AD63BF"/>
    <w:rsid w:val="00AE070A"/>
    <w:rsid w:val="00AE101C"/>
    <w:rsid w:val="00AE1A06"/>
    <w:rsid w:val="00AE2A69"/>
    <w:rsid w:val="00AE37E5"/>
    <w:rsid w:val="00AE5EB4"/>
    <w:rsid w:val="00AF0C18"/>
    <w:rsid w:val="00AF47C5"/>
    <w:rsid w:val="00AF5398"/>
    <w:rsid w:val="00B049AF"/>
    <w:rsid w:val="00B07242"/>
    <w:rsid w:val="00B10534"/>
    <w:rsid w:val="00B113DB"/>
    <w:rsid w:val="00B11D8A"/>
    <w:rsid w:val="00B12981"/>
    <w:rsid w:val="00B147DD"/>
    <w:rsid w:val="00B14907"/>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36"/>
    <w:rsid w:val="00B56FBE"/>
    <w:rsid w:val="00B5748E"/>
    <w:rsid w:val="00B60ACF"/>
    <w:rsid w:val="00B62B58"/>
    <w:rsid w:val="00B65149"/>
    <w:rsid w:val="00B66567"/>
    <w:rsid w:val="00B66F52"/>
    <w:rsid w:val="00B66FE5"/>
    <w:rsid w:val="00B72880"/>
    <w:rsid w:val="00B758BF"/>
    <w:rsid w:val="00B77EC8"/>
    <w:rsid w:val="00B827A6"/>
    <w:rsid w:val="00B831CE"/>
    <w:rsid w:val="00B86677"/>
    <w:rsid w:val="00B87131"/>
    <w:rsid w:val="00B91EAA"/>
    <w:rsid w:val="00B939B1"/>
    <w:rsid w:val="00B96D40"/>
    <w:rsid w:val="00B97386"/>
    <w:rsid w:val="00BA263B"/>
    <w:rsid w:val="00BA2E0C"/>
    <w:rsid w:val="00BA42B2"/>
    <w:rsid w:val="00BA58D4"/>
    <w:rsid w:val="00BA5B9E"/>
    <w:rsid w:val="00BA7C9A"/>
    <w:rsid w:val="00BB5F8F"/>
    <w:rsid w:val="00BB657A"/>
    <w:rsid w:val="00BB79DE"/>
    <w:rsid w:val="00BC1A4E"/>
    <w:rsid w:val="00BC5DC7"/>
    <w:rsid w:val="00BC6B8B"/>
    <w:rsid w:val="00BC73D8"/>
    <w:rsid w:val="00BC7FA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4FF"/>
    <w:rsid w:val="00C601BC"/>
    <w:rsid w:val="00C6329F"/>
    <w:rsid w:val="00C63340"/>
    <w:rsid w:val="00C643F9"/>
    <w:rsid w:val="00C64E95"/>
    <w:rsid w:val="00C71372"/>
    <w:rsid w:val="00C72410"/>
    <w:rsid w:val="00C7287F"/>
    <w:rsid w:val="00C769E6"/>
    <w:rsid w:val="00C80CB8"/>
    <w:rsid w:val="00C819F8"/>
    <w:rsid w:val="00C8248C"/>
    <w:rsid w:val="00C84E33"/>
    <w:rsid w:val="00C86D6F"/>
    <w:rsid w:val="00C905FC"/>
    <w:rsid w:val="00C923DE"/>
    <w:rsid w:val="00C92D03"/>
    <w:rsid w:val="00C9319C"/>
    <w:rsid w:val="00C93DE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EE5"/>
    <w:rsid w:val="00D21E81"/>
    <w:rsid w:val="00D223DE"/>
    <w:rsid w:val="00D25E37"/>
    <w:rsid w:val="00D2661A"/>
    <w:rsid w:val="00D269C6"/>
    <w:rsid w:val="00D27582"/>
    <w:rsid w:val="00D27EC4"/>
    <w:rsid w:val="00D32719"/>
    <w:rsid w:val="00D33333"/>
    <w:rsid w:val="00D352A2"/>
    <w:rsid w:val="00D4045D"/>
    <w:rsid w:val="00D4162B"/>
    <w:rsid w:val="00D4514F"/>
    <w:rsid w:val="00D451E2"/>
    <w:rsid w:val="00D45E89"/>
    <w:rsid w:val="00D45E8D"/>
    <w:rsid w:val="00D466AE"/>
    <w:rsid w:val="00D46C9F"/>
    <w:rsid w:val="00D4734F"/>
    <w:rsid w:val="00D51BF3"/>
    <w:rsid w:val="00D66846"/>
    <w:rsid w:val="00D675FB"/>
    <w:rsid w:val="00D71656"/>
    <w:rsid w:val="00D71F25"/>
    <w:rsid w:val="00D72A9C"/>
    <w:rsid w:val="00D77031"/>
    <w:rsid w:val="00D84941"/>
    <w:rsid w:val="00D84D94"/>
    <w:rsid w:val="00D84FA1"/>
    <w:rsid w:val="00D851F0"/>
    <w:rsid w:val="00D854A4"/>
    <w:rsid w:val="00D86DB7"/>
    <w:rsid w:val="00D90721"/>
    <w:rsid w:val="00D926D0"/>
    <w:rsid w:val="00D93030"/>
    <w:rsid w:val="00D950E1"/>
    <w:rsid w:val="00D952A6"/>
    <w:rsid w:val="00D97F99"/>
    <w:rsid w:val="00DA1E08"/>
    <w:rsid w:val="00DA24F8"/>
    <w:rsid w:val="00DA28E8"/>
    <w:rsid w:val="00DA38D3"/>
    <w:rsid w:val="00DA3932"/>
    <w:rsid w:val="00DA3AFC"/>
    <w:rsid w:val="00DA5E2B"/>
    <w:rsid w:val="00DA64F8"/>
    <w:rsid w:val="00DA6C15"/>
    <w:rsid w:val="00DB0258"/>
    <w:rsid w:val="00DB1C16"/>
    <w:rsid w:val="00DB38EE"/>
    <w:rsid w:val="00DB498B"/>
    <w:rsid w:val="00DB66CA"/>
    <w:rsid w:val="00DB6BCA"/>
    <w:rsid w:val="00DB6F54"/>
    <w:rsid w:val="00DB73F7"/>
    <w:rsid w:val="00DC0321"/>
    <w:rsid w:val="00DC3067"/>
    <w:rsid w:val="00DC370B"/>
    <w:rsid w:val="00DC5B90"/>
    <w:rsid w:val="00DC76B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427"/>
    <w:rsid w:val="00DF6816"/>
    <w:rsid w:val="00E01138"/>
    <w:rsid w:val="00E02DFB"/>
    <w:rsid w:val="00E030F9"/>
    <w:rsid w:val="00E0311A"/>
    <w:rsid w:val="00E03138"/>
    <w:rsid w:val="00E04FE3"/>
    <w:rsid w:val="00E06404"/>
    <w:rsid w:val="00E11A85"/>
    <w:rsid w:val="00E12495"/>
    <w:rsid w:val="00E1569E"/>
    <w:rsid w:val="00E15CBB"/>
    <w:rsid w:val="00E15CCD"/>
    <w:rsid w:val="00E202EF"/>
    <w:rsid w:val="00E210B5"/>
    <w:rsid w:val="00E22734"/>
    <w:rsid w:val="00E22C1A"/>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3F"/>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55D"/>
    <w:rsid w:val="00E94AF0"/>
    <w:rsid w:val="00E95D13"/>
    <w:rsid w:val="00E95DD3"/>
    <w:rsid w:val="00E969D5"/>
    <w:rsid w:val="00EA1791"/>
    <w:rsid w:val="00EA58D1"/>
    <w:rsid w:val="00EA61BC"/>
    <w:rsid w:val="00EA681A"/>
    <w:rsid w:val="00EA735B"/>
    <w:rsid w:val="00EA76F7"/>
    <w:rsid w:val="00EB1E69"/>
    <w:rsid w:val="00EB2086"/>
    <w:rsid w:val="00EB31ED"/>
    <w:rsid w:val="00EB5EDF"/>
    <w:rsid w:val="00EB60FE"/>
    <w:rsid w:val="00EB74DB"/>
    <w:rsid w:val="00EC52B0"/>
    <w:rsid w:val="00EC5359"/>
    <w:rsid w:val="00EC562A"/>
    <w:rsid w:val="00EC765F"/>
    <w:rsid w:val="00ED067A"/>
    <w:rsid w:val="00ED2B50"/>
    <w:rsid w:val="00ED53C6"/>
    <w:rsid w:val="00EE0350"/>
    <w:rsid w:val="00EE0719"/>
    <w:rsid w:val="00EE0E80"/>
    <w:rsid w:val="00EE613F"/>
    <w:rsid w:val="00EE67B7"/>
    <w:rsid w:val="00EE7295"/>
    <w:rsid w:val="00EE7869"/>
    <w:rsid w:val="00EF054A"/>
    <w:rsid w:val="00EF3235"/>
    <w:rsid w:val="00EF7E72"/>
    <w:rsid w:val="00F02CAD"/>
    <w:rsid w:val="00F06D37"/>
    <w:rsid w:val="00F07B9D"/>
    <w:rsid w:val="00F11586"/>
    <w:rsid w:val="00F1183B"/>
    <w:rsid w:val="00F11C9F"/>
    <w:rsid w:val="00F12263"/>
    <w:rsid w:val="00F13C30"/>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A51"/>
    <w:rsid w:val="00F833BA"/>
    <w:rsid w:val="00F84FD0"/>
    <w:rsid w:val="00F859A8"/>
    <w:rsid w:val="00F86D87"/>
    <w:rsid w:val="00F9108B"/>
    <w:rsid w:val="00F91349"/>
    <w:rsid w:val="00F93A8A"/>
    <w:rsid w:val="00F94187"/>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59A"/>
    <w:rsid w:val="00FD00E6"/>
    <w:rsid w:val="00FD09A1"/>
    <w:rsid w:val="00FD2A7C"/>
    <w:rsid w:val="00FD59EB"/>
    <w:rsid w:val="00FD7299"/>
    <w:rsid w:val="00FE1FBE"/>
    <w:rsid w:val="00FE3901"/>
    <w:rsid w:val="00FE39D3"/>
    <w:rsid w:val="00FE4BCE"/>
    <w:rsid w:val="00FE53CF"/>
    <w:rsid w:val="00FE54AE"/>
    <w:rsid w:val="00FE576A"/>
    <w:rsid w:val="00FE7E79"/>
    <w:rsid w:val="00FF3E7D"/>
    <w:rsid w:val="00FF5B99"/>
    <w:rsid w:val="00FF730C"/>
    <w:rsid w:val="00FF73F4"/>
    <w:rsid w:val="00FF7CE4"/>
    <w:rsid w:val="00FF7E39"/>
    <w:rsid w:val="591C41D0"/>
    <w:rsid w:val="67072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uiPriority="0" w:unhideWhenUsed="0"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c">
    <w:name w:val="Normal"/>
    <w:qFormat/>
    <w:pPr>
      <w:widowControl w:val="0"/>
      <w:adjustRightInd w:val="0"/>
      <w:spacing w:line="400" w:lineRule="exact"/>
      <w:jc w:val="both"/>
    </w:pPr>
    <w:rPr>
      <w:kern w:val="2"/>
      <w:sz w:val="21"/>
      <w:szCs w:val="21"/>
    </w:rPr>
  </w:style>
  <w:style w:type="paragraph" w:styleId="1">
    <w:name w:val="heading 1"/>
    <w:basedOn w:val="affc"/>
    <w:next w:val="affc"/>
    <w:link w:val="1Char"/>
    <w:qFormat/>
    <w:pPr>
      <w:keepNext/>
      <w:keepLines/>
      <w:spacing w:before="340" w:after="330" w:line="578" w:lineRule="auto"/>
      <w:outlineLvl w:val="0"/>
    </w:pPr>
    <w:rPr>
      <w:b/>
      <w:bCs/>
      <w:kern w:val="44"/>
      <w:sz w:val="44"/>
      <w:szCs w:val="44"/>
    </w:rPr>
  </w:style>
  <w:style w:type="paragraph" w:styleId="22">
    <w:name w:val="heading 2"/>
    <w:basedOn w:val="affc"/>
    <w:next w:val="affc"/>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c"/>
    <w:next w:val="affc"/>
    <w:link w:val="3Char"/>
    <w:qFormat/>
    <w:pPr>
      <w:keepNext/>
      <w:keepLines/>
      <w:spacing w:before="260" w:after="260" w:line="416" w:lineRule="auto"/>
      <w:outlineLvl w:val="2"/>
    </w:pPr>
    <w:rPr>
      <w:b/>
      <w:bCs/>
      <w:sz w:val="32"/>
      <w:szCs w:val="32"/>
    </w:rPr>
  </w:style>
  <w:style w:type="paragraph" w:styleId="4">
    <w:name w:val="heading 4"/>
    <w:basedOn w:val="affc"/>
    <w:next w:val="affc"/>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c"/>
    <w:next w:val="affc"/>
    <w:link w:val="5Char"/>
    <w:qFormat/>
    <w:pPr>
      <w:keepNext/>
      <w:keepLines/>
      <w:adjustRightInd/>
      <w:spacing w:before="280" w:after="290" w:line="376" w:lineRule="auto"/>
      <w:outlineLvl w:val="4"/>
    </w:pPr>
    <w:rPr>
      <w:b/>
      <w:bCs/>
      <w:sz w:val="28"/>
      <w:szCs w:val="28"/>
    </w:rPr>
  </w:style>
  <w:style w:type="paragraph" w:styleId="6">
    <w:name w:val="heading 6"/>
    <w:basedOn w:val="affc"/>
    <w:next w:val="affc"/>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c"/>
    <w:next w:val="affc"/>
    <w:link w:val="7Char"/>
    <w:qFormat/>
    <w:pPr>
      <w:keepNext/>
      <w:keepLines/>
      <w:adjustRightInd/>
      <w:spacing w:before="240" w:after="64" w:line="320" w:lineRule="auto"/>
      <w:outlineLvl w:val="6"/>
    </w:pPr>
    <w:rPr>
      <w:b/>
      <w:bCs/>
      <w:sz w:val="24"/>
      <w:szCs w:val="24"/>
    </w:rPr>
  </w:style>
  <w:style w:type="paragraph" w:styleId="8">
    <w:name w:val="heading 8"/>
    <w:basedOn w:val="affc"/>
    <w:next w:val="affc"/>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c"/>
    <w:next w:val="affc"/>
    <w:link w:val="9Char"/>
    <w:qFormat/>
    <w:pPr>
      <w:keepNext/>
      <w:keepLines/>
      <w:adjustRightInd/>
      <w:spacing w:before="240" w:after="64" w:line="320" w:lineRule="auto"/>
      <w:outlineLvl w:val="8"/>
    </w:pPr>
    <w:rPr>
      <w:rFonts w:ascii="Arial" w:eastAsia="黑体" w:hAnsi="Arial"/>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0">
    <w:name w:val="toc 7"/>
    <w:basedOn w:val="affc"/>
    <w:next w:val="affc"/>
    <w:uiPriority w:val="39"/>
    <w:unhideWhenUsed/>
    <w:pPr>
      <w:tabs>
        <w:tab w:val="right" w:leader="dot" w:pos="9344"/>
      </w:tabs>
      <w:spacing w:line="300" w:lineRule="exact"/>
      <w:ind w:left="1259"/>
    </w:pPr>
    <w:rPr>
      <w:rFonts w:ascii="宋体"/>
    </w:rPr>
  </w:style>
  <w:style w:type="paragraph" w:styleId="afff0">
    <w:name w:val="Normal Indent"/>
    <w:basedOn w:val="affc"/>
    <w:pPr>
      <w:ind w:firstLine="420"/>
    </w:pPr>
  </w:style>
  <w:style w:type="paragraph" w:styleId="afff1">
    <w:name w:val="caption"/>
    <w:basedOn w:val="affc"/>
    <w:next w:val="affc"/>
    <w:qFormat/>
    <w:pPr>
      <w:adjustRightInd/>
      <w:spacing w:before="152" w:after="160" w:line="240" w:lineRule="auto"/>
    </w:pPr>
    <w:rPr>
      <w:rFonts w:ascii="Arial" w:eastAsia="黑体" w:hAnsi="Arial" w:cs="Arial"/>
      <w:sz w:val="20"/>
      <w:szCs w:val="20"/>
    </w:rPr>
  </w:style>
  <w:style w:type="paragraph" w:styleId="afff2">
    <w:name w:val="annotation text"/>
    <w:basedOn w:val="affc"/>
    <w:uiPriority w:val="99"/>
    <w:semiHidden/>
    <w:unhideWhenUsed/>
    <w:pPr>
      <w:jc w:val="left"/>
    </w:pPr>
  </w:style>
  <w:style w:type="paragraph" w:styleId="afff3">
    <w:name w:val="Body Text"/>
    <w:basedOn w:val="affc"/>
    <w:link w:val="Char"/>
    <w:pPr>
      <w:spacing w:after="120"/>
    </w:pPr>
  </w:style>
  <w:style w:type="paragraph" w:styleId="50">
    <w:name w:val="toc 5"/>
    <w:basedOn w:val="affc"/>
    <w:next w:val="affc"/>
    <w:uiPriority w:val="39"/>
    <w:unhideWhenUsed/>
    <w:pPr>
      <w:ind w:left="839"/>
    </w:pPr>
    <w:rPr>
      <w:rFonts w:ascii="宋体"/>
    </w:rPr>
  </w:style>
  <w:style w:type="paragraph" w:styleId="30">
    <w:name w:val="toc 3"/>
    <w:basedOn w:val="affc"/>
    <w:next w:val="affc"/>
    <w:uiPriority w:val="39"/>
    <w:unhideWhenUsed/>
    <w:pPr>
      <w:spacing w:line="300" w:lineRule="exact"/>
      <w:ind w:left="420"/>
    </w:pPr>
    <w:rPr>
      <w:rFonts w:ascii="宋体"/>
    </w:rPr>
  </w:style>
  <w:style w:type="paragraph" w:styleId="afff4">
    <w:name w:val="Balloon Text"/>
    <w:basedOn w:val="affc"/>
    <w:link w:val="Char0"/>
    <w:uiPriority w:val="99"/>
    <w:semiHidden/>
    <w:unhideWhenUsed/>
    <w:rPr>
      <w:sz w:val="18"/>
      <w:szCs w:val="18"/>
    </w:rPr>
  </w:style>
  <w:style w:type="paragraph" w:styleId="afff5">
    <w:name w:val="footer"/>
    <w:basedOn w:val="affc"/>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6">
    <w:name w:val="header"/>
    <w:basedOn w:val="affc"/>
    <w:link w:val="Char2"/>
    <w:uiPriority w:val="99"/>
    <w:pPr>
      <w:tabs>
        <w:tab w:val="center" w:pos="4153"/>
        <w:tab w:val="right" w:pos="8306"/>
      </w:tabs>
      <w:adjustRightInd/>
      <w:snapToGrid w:val="0"/>
      <w:jc w:val="center"/>
    </w:pPr>
    <w:rPr>
      <w:sz w:val="18"/>
      <w:szCs w:val="18"/>
    </w:rPr>
  </w:style>
  <w:style w:type="paragraph" w:styleId="10">
    <w:name w:val="toc 1"/>
    <w:basedOn w:val="affc"/>
    <w:next w:val="affc"/>
    <w:uiPriority w:val="39"/>
    <w:unhideWhenUsed/>
    <w:rPr>
      <w:rFonts w:ascii="宋体"/>
    </w:rPr>
  </w:style>
  <w:style w:type="paragraph" w:styleId="40">
    <w:name w:val="toc 4"/>
    <w:basedOn w:val="affc"/>
    <w:next w:val="affc"/>
    <w:uiPriority w:val="39"/>
    <w:unhideWhenUsed/>
    <w:pPr>
      <w:tabs>
        <w:tab w:val="right" w:leader="dot" w:pos="9344"/>
      </w:tabs>
      <w:spacing w:line="300" w:lineRule="exact"/>
      <w:ind w:left="629"/>
    </w:pPr>
    <w:rPr>
      <w:rFonts w:ascii="宋体"/>
    </w:rPr>
  </w:style>
  <w:style w:type="paragraph" w:styleId="afff7">
    <w:name w:val="footnote text"/>
    <w:basedOn w:val="affc"/>
    <w:next w:val="affc"/>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c"/>
    <w:next w:val="affc"/>
    <w:uiPriority w:val="39"/>
    <w:unhideWhenUsed/>
    <w:pPr>
      <w:spacing w:line="300" w:lineRule="exact"/>
      <w:ind w:left="1049"/>
    </w:pPr>
    <w:rPr>
      <w:rFonts w:ascii="宋体"/>
    </w:rPr>
  </w:style>
  <w:style w:type="paragraph" w:styleId="afff8">
    <w:name w:val="table of figures"/>
    <w:basedOn w:val="affc"/>
    <w:next w:val="affc"/>
    <w:semiHidden/>
    <w:pPr>
      <w:adjustRightInd/>
      <w:spacing w:line="240" w:lineRule="auto"/>
      <w:jc w:val="left"/>
    </w:pPr>
    <w:rPr>
      <w:szCs w:val="24"/>
    </w:rPr>
  </w:style>
  <w:style w:type="paragraph" w:styleId="23">
    <w:name w:val="toc 2"/>
    <w:basedOn w:val="affc"/>
    <w:next w:val="affc"/>
    <w:uiPriority w:val="39"/>
    <w:unhideWhenUsed/>
    <w:pPr>
      <w:tabs>
        <w:tab w:val="right" w:leader="dot" w:pos="9344"/>
      </w:tabs>
      <w:spacing w:line="300" w:lineRule="exact"/>
      <w:ind w:left="210"/>
    </w:pPr>
    <w:rPr>
      <w:rFonts w:ascii="宋体"/>
    </w:rPr>
  </w:style>
  <w:style w:type="paragraph" w:styleId="afff9">
    <w:name w:val="Title"/>
    <w:basedOn w:val="affc"/>
    <w:link w:val="Char4"/>
    <w:qFormat/>
    <w:pPr>
      <w:spacing w:before="240" w:after="60"/>
      <w:jc w:val="center"/>
      <w:outlineLvl w:val="0"/>
    </w:pPr>
    <w:rPr>
      <w:rFonts w:ascii="Arial" w:hAnsi="Arial" w:cs="Arial"/>
      <w:b/>
      <w:bCs/>
      <w:sz w:val="32"/>
      <w:szCs w:val="32"/>
    </w:rPr>
  </w:style>
  <w:style w:type="table" w:styleId="afffa">
    <w:name w:val="Table Grid"/>
    <w:basedOn w:val="affe"/>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b">
    <w:name w:val="Strong"/>
    <w:uiPriority w:val="22"/>
    <w:qFormat/>
    <w:rPr>
      <w:b/>
      <w:bCs/>
    </w:rPr>
  </w:style>
  <w:style w:type="character" w:styleId="afffc">
    <w:name w:val="page number"/>
    <w:rPr>
      <w:rFonts w:ascii="宋体" w:eastAsia="宋体" w:hAnsi="Times New Roman"/>
      <w:sz w:val="18"/>
    </w:rPr>
  </w:style>
  <w:style w:type="character" w:styleId="afffd">
    <w:name w:val="Emphasis"/>
    <w:uiPriority w:val="20"/>
    <w:qFormat/>
    <w:rPr>
      <w:i/>
      <w:iCs/>
    </w:rPr>
  </w:style>
  <w:style w:type="character" w:styleId="afffe">
    <w:name w:val="Hyperlink"/>
    <w:uiPriority w:val="99"/>
    <w:rPr>
      <w:rFonts w:ascii="宋体" w:eastAsia="宋体" w:hAnsi="Times New Roman"/>
      <w:color w:val="auto"/>
      <w:spacing w:val="0"/>
      <w:w w:val="100"/>
      <w:position w:val="0"/>
      <w:sz w:val="21"/>
      <w:u w:val="none"/>
      <w:vertAlign w:val="baseline"/>
    </w:rPr>
  </w:style>
  <w:style w:type="character" w:styleId="affff">
    <w:name w:val="footnote reference"/>
    <w:semiHidden/>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6"/>
    <w:uiPriority w:val="99"/>
    <w:rPr>
      <w:rFonts w:ascii="Times New Roman" w:eastAsia="宋体" w:hAnsi="Times New Roman" w:cs="Times New Roman"/>
      <w:sz w:val="18"/>
      <w:szCs w:val="18"/>
    </w:rPr>
  </w:style>
  <w:style w:type="character" w:customStyle="1" w:styleId="Char1">
    <w:name w:val="页脚 Char"/>
    <w:link w:val="afff5"/>
    <w:uiPriority w:val="99"/>
    <w:rPr>
      <w:rFonts w:ascii="宋体" w:eastAsia="宋体" w:hAnsi="Times New Roman" w:cs="Times New Roman"/>
      <w:sz w:val="18"/>
      <w:szCs w:val="18"/>
    </w:rPr>
  </w:style>
  <w:style w:type="character" w:customStyle="1" w:styleId="Char0">
    <w:name w:val="批注框文本 Char"/>
    <w:link w:val="afff4"/>
    <w:uiPriority w:val="99"/>
    <w:semiHidden/>
    <w:rPr>
      <w:sz w:val="18"/>
      <w:szCs w:val="18"/>
    </w:rPr>
  </w:style>
  <w:style w:type="paragraph" w:styleId="affff0">
    <w:name w:val="Quote"/>
    <w:basedOn w:val="affc"/>
    <w:next w:val="affc"/>
    <w:link w:val="Char5"/>
    <w:uiPriority w:val="29"/>
    <w:qFormat/>
    <w:rPr>
      <w:i/>
      <w:iCs/>
      <w:color w:val="000000"/>
    </w:rPr>
  </w:style>
  <w:style w:type="character" w:customStyle="1" w:styleId="Char5">
    <w:name w:val="引用 Char"/>
    <w:link w:val="affff0"/>
    <w:uiPriority w:val="29"/>
    <w:rPr>
      <w:i/>
      <w:iCs/>
      <w:color w:val="000000"/>
    </w:rPr>
  </w:style>
  <w:style w:type="character" w:customStyle="1" w:styleId="Char4">
    <w:name w:val="标题 Char"/>
    <w:link w:val="afff9"/>
    <w:rPr>
      <w:rFonts w:ascii="Arial" w:eastAsia="宋体" w:hAnsi="Arial" w:cs="Arial"/>
      <w:b/>
      <w:bCs/>
      <w:sz w:val="32"/>
      <w:szCs w:val="32"/>
    </w:rPr>
  </w:style>
  <w:style w:type="paragraph" w:customStyle="1" w:styleId="affff1">
    <w:name w:val="标准标志"/>
    <w:next w:val="aff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pPr>
      <w:ind w:left="198"/>
    </w:pPr>
    <w:rPr>
      <w:rFonts w:ascii="宋体" w:hAnsi="Times New Roman"/>
      <w:sz w:val="18"/>
    </w:rPr>
  </w:style>
  <w:style w:type="paragraph" w:customStyle="1" w:styleId="affff4">
    <w:name w:val="标准文件_页脚奇数页"/>
    <w:pPr>
      <w:ind w:right="227"/>
      <w:jc w:val="right"/>
    </w:pPr>
    <w:rPr>
      <w:rFonts w:ascii="宋体" w:hAnsi="Times New Roman"/>
      <w:sz w:val="18"/>
    </w:rPr>
  </w:style>
  <w:style w:type="paragraph" w:customStyle="1" w:styleId="affff5">
    <w:name w:val="标准书眉一"/>
    <w:pPr>
      <w:jc w:val="both"/>
    </w:pPr>
    <w:rPr>
      <w:rFonts w:ascii="Times New Roman" w:hAnsi="Times New Roman"/>
    </w:rPr>
  </w:style>
  <w:style w:type="paragraph" w:customStyle="1" w:styleId="ICS">
    <w:name w:val="标准文件_ICS"/>
    <w:basedOn w:val="affc"/>
    <w:pPr>
      <w:spacing w:line="0" w:lineRule="atLeast"/>
    </w:pPr>
    <w:rPr>
      <w:rFonts w:ascii="黑体" w:eastAsia="黑体" w:hAnsi="宋体"/>
    </w:rPr>
  </w:style>
  <w:style w:type="paragraph" w:customStyle="1" w:styleId="affff6">
    <w:name w:val="标准文件_标准正文"/>
    <w:basedOn w:val="affc"/>
    <w:next w:val="affff7"/>
    <w:pPr>
      <w:snapToGrid w:val="0"/>
      <w:ind w:firstLineChars="200" w:firstLine="200"/>
    </w:pPr>
    <w:rPr>
      <w:kern w:val="0"/>
    </w:rPr>
  </w:style>
  <w:style w:type="paragraph" w:customStyle="1" w:styleId="affff7">
    <w:name w:val="标准文件_段"/>
    <w:link w:val="Char6"/>
    <w:pPr>
      <w:autoSpaceDE w:val="0"/>
      <w:autoSpaceDN w:val="0"/>
      <w:ind w:firstLineChars="200" w:firstLine="200"/>
      <w:jc w:val="both"/>
    </w:pPr>
    <w:rPr>
      <w:rFonts w:ascii="宋体" w:hAnsi="Times New Roman"/>
      <w:sz w:val="21"/>
    </w:rPr>
  </w:style>
  <w:style w:type="paragraph" w:customStyle="1" w:styleId="affff8">
    <w:name w:val="标准文件_版本"/>
    <w:basedOn w:val="affff6"/>
    <w:pPr>
      <w:adjustRightInd/>
      <w:snapToGrid/>
      <w:ind w:firstLineChars="0" w:firstLine="0"/>
    </w:pPr>
    <w:rPr>
      <w:rFonts w:ascii="宋体" w:hAnsi="宋体"/>
      <w:kern w:val="2"/>
    </w:rPr>
  </w:style>
  <w:style w:type="paragraph" w:customStyle="1" w:styleId="affff9">
    <w:name w:val="标准文件_标准部门"/>
    <w:basedOn w:val="affc"/>
    <w:pPr>
      <w:jc w:val="center"/>
    </w:pPr>
    <w:rPr>
      <w:rFonts w:ascii="黑体" w:eastAsia="黑体"/>
      <w:kern w:val="0"/>
      <w:sz w:val="44"/>
    </w:rPr>
  </w:style>
  <w:style w:type="paragraph" w:customStyle="1" w:styleId="affffa">
    <w:name w:val="标准文件_标准代替"/>
    <w:basedOn w:val="affc"/>
    <w:next w:val="affc"/>
    <w:pPr>
      <w:spacing w:line="310" w:lineRule="exact"/>
      <w:jc w:val="right"/>
    </w:pPr>
    <w:rPr>
      <w:rFonts w:ascii="宋体" w:hAnsi="宋体"/>
      <w:kern w:val="0"/>
    </w:rPr>
  </w:style>
  <w:style w:type="paragraph" w:customStyle="1" w:styleId="affffb">
    <w:name w:val="标准文件_标准名称标题"/>
    <w:basedOn w:val="affc"/>
    <w:next w:val="affc"/>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c"/>
    <w:pPr>
      <w:tabs>
        <w:tab w:val="center" w:pos="4154"/>
        <w:tab w:val="right" w:pos="8306"/>
      </w:tabs>
      <w:spacing w:after="120"/>
      <w:jc w:val="right"/>
    </w:pPr>
    <w:rPr>
      <w:rFonts w:ascii="黑体" w:eastAsia="黑体" w:hAnsi="宋体"/>
      <w:sz w:val="21"/>
    </w:rPr>
  </w:style>
  <w:style w:type="paragraph" w:customStyle="1" w:styleId="affffd">
    <w:name w:val="标准文件_页眉偶数页"/>
    <w:basedOn w:val="affffc"/>
    <w:next w:val="affc"/>
    <w:pPr>
      <w:jc w:val="left"/>
    </w:pPr>
  </w:style>
  <w:style w:type="paragraph" w:customStyle="1" w:styleId="affffe">
    <w:name w:val="标准文件_参考文献标题"/>
    <w:basedOn w:val="affc"/>
    <w:next w:val="affc"/>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ff">
    <w:name w:val="标准文件_二级条标题"/>
    <w:next w:val="affff7"/>
    <w:pPr>
      <w:widowControl w:val="0"/>
      <w:spacing w:beforeLines="50" w:before="50" w:afterLines="50" w:after="50"/>
      <w:jc w:val="both"/>
      <w:outlineLvl w:val="2"/>
    </w:pPr>
    <w:rPr>
      <w:rFonts w:ascii="黑体" w:eastAsia="黑体" w:hAnsi="Times New Roman"/>
      <w:sz w:val="21"/>
    </w:rPr>
  </w:style>
  <w:style w:type="character" w:customStyle="1" w:styleId="afffff0">
    <w:name w:val="标准文件_发布"/>
    <w:rPr>
      <w:rFonts w:ascii="黑体" w:eastAsia="黑体"/>
      <w:spacing w:val="0"/>
      <w:w w:val="100"/>
      <w:position w:val="3"/>
      <w:sz w:val="28"/>
    </w:rPr>
  </w:style>
  <w:style w:type="paragraph" w:customStyle="1" w:styleId="ad">
    <w:name w:val="标准文件_方框数字列项"/>
    <w:basedOn w:val="affff7"/>
    <w:pPr>
      <w:numPr>
        <w:numId w:val="2"/>
      </w:numPr>
      <w:ind w:firstLineChars="0" w:firstLine="0"/>
    </w:pPr>
  </w:style>
  <w:style w:type="paragraph" w:customStyle="1" w:styleId="afffff1">
    <w:name w:val="标准文件_封面标准编号"/>
    <w:basedOn w:val="affc"/>
    <w:next w:val="affffa"/>
    <w:pPr>
      <w:spacing w:line="310" w:lineRule="exact"/>
      <w:jc w:val="right"/>
    </w:pPr>
    <w:rPr>
      <w:rFonts w:ascii="黑体" w:eastAsia="黑体"/>
      <w:kern w:val="0"/>
      <w:sz w:val="28"/>
    </w:rPr>
  </w:style>
  <w:style w:type="paragraph" w:customStyle="1" w:styleId="afffff2">
    <w:name w:val="标准文件_封面标准分类号"/>
    <w:basedOn w:val="affc"/>
    <w:rPr>
      <w:rFonts w:ascii="黑体" w:eastAsia="黑体"/>
      <w:b/>
      <w:kern w:val="0"/>
      <w:sz w:val="28"/>
    </w:rPr>
  </w:style>
  <w:style w:type="paragraph" w:customStyle="1" w:styleId="afffff3">
    <w:name w:val="标准文件_封面标准名称"/>
    <w:basedOn w:val="affc"/>
    <w:pPr>
      <w:spacing w:line="240" w:lineRule="auto"/>
      <w:jc w:val="center"/>
    </w:pPr>
    <w:rPr>
      <w:rFonts w:ascii="黑体" w:eastAsia="黑体"/>
      <w:kern w:val="0"/>
      <w:sz w:val="52"/>
    </w:rPr>
  </w:style>
  <w:style w:type="paragraph" w:customStyle="1" w:styleId="afffff4">
    <w:name w:val="标准文件_封面标准英文名称"/>
    <w:basedOn w:val="affc"/>
    <w:pPr>
      <w:spacing w:line="240" w:lineRule="auto"/>
      <w:jc w:val="center"/>
    </w:pPr>
    <w:rPr>
      <w:rFonts w:ascii="黑体" w:eastAsia="黑体"/>
      <w:b/>
      <w:sz w:val="28"/>
    </w:rPr>
  </w:style>
  <w:style w:type="paragraph" w:customStyle="1" w:styleId="afffff5">
    <w:name w:val="标准文件_封面发布日期"/>
    <w:basedOn w:val="affc"/>
    <w:pPr>
      <w:spacing w:line="310" w:lineRule="exact"/>
    </w:pPr>
    <w:rPr>
      <w:rFonts w:ascii="黑体" w:eastAsia="黑体"/>
      <w:kern w:val="0"/>
      <w:sz w:val="28"/>
    </w:rPr>
  </w:style>
  <w:style w:type="paragraph" w:customStyle="1" w:styleId="afffff6">
    <w:name w:val="标准文件_封面密级"/>
    <w:basedOn w:val="affc"/>
    <w:rPr>
      <w:rFonts w:eastAsia="黑体"/>
      <w:sz w:val="32"/>
    </w:rPr>
  </w:style>
  <w:style w:type="paragraph" w:customStyle="1" w:styleId="afffff7">
    <w:name w:val="标准文件_封面实施日期"/>
    <w:basedOn w:val="affc"/>
    <w:pPr>
      <w:spacing w:line="310" w:lineRule="exact"/>
      <w:jc w:val="right"/>
    </w:pPr>
    <w:rPr>
      <w:rFonts w:ascii="黑体" w:eastAsia="黑体"/>
      <w:sz w:val="28"/>
    </w:rPr>
  </w:style>
  <w:style w:type="paragraph" w:customStyle="1" w:styleId="afffff8">
    <w:name w:val="标准文件_封面抬头"/>
    <w:basedOn w:val="affff7"/>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7"/>
    <w:pPr>
      <w:numPr>
        <w:numId w:val="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d">
    <w:name w:val="标准文件_附录表标题"/>
    <w:next w:val="affff7"/>
    <w:pPr>
      <w:numPr>
        <w:ilvl w:val="1"/>
        <w:numId w:val="4"/>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2">
    <w:name w:val="标准文件_附录一级条标题"/>
    <w:next w:val="affff7"/>
    <w:pPr>
      <w:widowControl w:val="0"/>
      <w:numPr>
        <w:ilvl w:val="1"/>
        <w:numId w:val="3"/>
      </w:numPr>
      <w:spacing w:beforeLines="50" w:before="50" w:afterLines="50" w:after="50"/>
      <w:jc w:val="both"/>
      <w:outlineLvl w:val="2"/>
    </w:pPr>
    <w:rPr>
      <w:rFonts w:ascii="黑体" w:eastAsia="黑体" w:hAnsi="Times New Roman"/>
      <w:kern w:val="21"/>
      <w:sz w:val="21"/>
    </w:rPr>
  </w:style>
  <w:style w:type="paragraph" w:customStyle="1" w:styleId="aff3">
    <w:name w:val="标准文件_附录二级条标题"/>
    <w:basedOn w:val="aff2"/>
    <w:next w:val="affff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6"/>
    <w:next w:val="affff6"/>
    <w:pPr>
      <w:tabs>
        <w:tab w:val="center" w:pos="4678"/>
        <w:tab w:val="right" w:leader="middleDot" w:pos="9356"/>
      </w:tabs>
      <w:spacing w:line="240" w:lineRule="auto"/>
      <w:ind w:right="-51" w:firstLineChars="0" w:firstLine="0"/>
    </w:pPr>
    <w:rPr>
      <w:rFonts w:ascii="宋体" w:hAnsi="宋体"/>
    </w:rPr>
  </w:style>
  <w:style w:type="paragraph" w:customStyle="1" w:styleId="aff4">
    <w:name w:val="标准文件_附录三级条标题"/>
    <w:next w:val="affff7"/>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ff5">
    <w:name w:val="标准文件_附录四级条标题"/>
    <w:next w:val="affff7"/>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f7">
    <w:name w:val="标准文件_附录图标题"/>
    <w:next w:val="affff7"/>
    <w:pPr>
      <w:numPr>
        <w:ilvl w:val="1"/>
        <w:numId w:val="5"/>
      </w:numPr>
      <w:adjustRightInd w:val="0"/>
      <w:snapToGrid w:val="0"/>
      <w:spacing w:beforeLines="50" w:before="50" w:afterLines="50" w:after="50"/>
      <w:ind w:firstLine="420"/>
      <w:jc w:val="center"/>
    </w:pPr>
    <w:rPr>
      <w:rFonts w:ascii="黑体" w:eastAsia="黑体" w:hAnsi="Times New Roman"/>
      <w:sz w:val="21"/>
    </w:rPr>
  </w:style>
  <w:style w:type="paragraph" w:customStyle="1" w:styleId="aff6">
    <w:name w:val="标准文件_附录五级条标题"/>
    <w:next w:val="affff7"/>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3"/>
    <w:pPr>
      <w:numPr>
        <w:numId w:val="6"/>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3"/>
    <w:rPr>
      <w:rFonts w:ascii="Times New Roman" w:eastAsia="宋体" w:hAnsi="Times New Roman" w:cs="Times New Roman"/>
      <w:szCs w:val="20"/>
    </w:rPr>
  </w:style>
  <w:style w:type="paragraph" w:customStyle="1" w:styleId="afffffa">
    <w:name w:val="标准文件_附录章标题"/>
    <w:next w:val="affff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pPr>
      <w:ind w:leftChars="200" w:left="488" w:hangingChars="290" w:hanging="289"/>
    </w:pPr>
  </w:style>
  <w:style w:type="paragraph" w:customStyle="1" w:styleId="a6">
    <w:name w:val="标准文件_前言、引言标题"/>
    <w:next w:val="affc"/>
    <w:pPr>
      <w:numPr>
        <w:numId w:val="7"/>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c">
    <w:name w:val="标准文件_目次、标准名称标题"/>
    <w:basedOn w:val="a6"/>
    <w:next w:val="affff7"/>
    <w:pPr>
      <w:spacing w:line="460" w:lineRule="exact"/>
    </w:pPr>
  </w:style>
  <w:style w:type="paragraph" w:customStyle="1" w:styleId="afffffd">
    <w:name w:val="标准文件_目录标题"/>
    <w:basedOn w:val="affc"/>
    <w:pPr>
      <w:spacing w:afterLines="150" w:after="150" w:line="240" w:lineRule="auto"/>
      <w:jc w:val="center"/>
    </w:pPr>
    <w:rPr>
      <w:rFonts w:ascii="黑体" w:eastAsia="黑体"/>
      <w:sz w:val="32"/>
    </w:rPr>
  </w:style>
  <w:style w:type="paragraph" w:customStyle="1" w:styleId="af1">
    <w:name w:val="标准文件_破折号列项"/>
    <w:pPr>
      <w:numPr>
        <w:numId w:val="8"/>
      </w:numPr>
      <w:adjustRightInd w:val="0"/>
      <w:snapToGrid w:val="0"/>
      <w:ind w:left="0" w:firstLineChars="200" w:firstLine="200"/>
    </w:pPr>
    <w:rPr>
      <w:rFonts w:ascii="Times New Roman" w:hAnsi="Times New Roman"/>
      <w:sz w:val="21"/>
    </w:rPr>
  </w:style>
  <w:style w:type="paragraph" w:customStyle="1" w:styleId="afa">
    <w:name w:val="标准文件_破折号列项（二级）"/>
    <w:basedOn w:val="af1"/>
    <w:pPr>
      <w:numPr>
        <w:numId w:val="9"/>
      </w:numPr>
      <w:ind w:left="0" w:firstLine="200"/>
    </w:pPr>
  </w:style>
  <w:style w:type="paragraph" w:customStyle="1" w:styleId="afffffe">
    <w:name w:val="标准文件_三级条标题"/>
    <w:basedOn w:val="afffff"/>
    <w:next w:val="affff7"/>
    <w:pPr>
      <w:widowControl/>
      <w:outlineLvl w:val="3"/>
    </w:pPr>
  </w:style>
  <w:style w:type="character" w:customStyle="1" w:styleId="11">
    <w:name w:val="不明显参考1"/>
    <w:uiPriority w:val="31"/>
    <w:qFormat/>
    <w:rPr>
      <w:smallCaps/>
      <w:color w:val="C0504D"/>
      <w:u w:val="single"/>
    </w:rPr>
  </w:style>
  <w:style w:type="paragraph" w:customStyle="1" w:styleId="affffff">
    <w:name w:val="标准文件_示例后续"/>
    <w:basedOn w:val="affc"/>
    <w:pPr>
      <w:adjustRightInd/>
      <w:spacing w:line="240" w:lineRule="auto"/>
      <w:ind w:firstLineChars="200" w:firstLine="200"/>
    </w:pPr>
    <w:rPr>
      <w:sz w:val="18"/>
      <w:szCs w:val="24"/>
    </w:rPr>
  </w:style>
  <w:style w:type="paragraph" w:customStyle="1" w:styleId="aff7">
    <w:name w:val="标准文件_数字编号列项"/>
    <w:pPr>
      <w:numPr>
        <w:numId w:val="10"/>
      </w:numPr>
      <w:jc w:val="both"/>
    </w:pPr>
    <w:rPr>
      <w:rFonts w:ascii="宋体" w:hAnsi="宋体"/>
      <w:sz w:val="21"/>
    </w:rPr>
  </w:style>
  <w:style w:type="paragraph" w:customStyle="1" w:styleId="affffff0">
    <w:name w:val="标准文件_四级条标题"/>
    <w:next w:val="affff7"/>
    <w:pPr>
      <w:widowControl w:val="0"/>
      <w:spacing w:beforeLines="50" w:before="50" w:afterLines="50" w:after="50"/>
      <w:jc w:val="both"/>
      <w:outlineLvl w:val="4"/>
    </w:pPr>
    <w:rPr>
      <w:rFonts w:ascii="黑体" w:eastAsia="黑体" w:hAnsi="Times New Roman"/>
      <w:sz w:val="21"/>
    </w:rPr>
  </w:style>
  <w:style w:type="character" w:customStyle="1" w:styleId="Char3">
    <w:name w:val="脚注文本 Char"/>
    <w:link w:val="afff7"/>
    <w:semiHidden/>
    <w:rPr>
      <w:rFonts w:ascii="宋体" w:eastAsia="宋体" w:hAnsi="Times New Roman" w:cs="Times New Roman"/>
      <w:sz w:val="18"/>
      <w:szCs w:val="18"/>
    </w:rPr>
  </w:style>
  <w:style w:type="paragraph" w:customStyle="1" w:styleId="affffff1">
    <w:name w:val="标准文件_条文脚注"/>
    <w:basedOn w:val="afff7"/>
    <w:pPr>
      <w:adjustRightInd w:val="0"/>
      <w:spacing w:line="240" w:lineRule="auto"/>
      <w:ind w:leftChars="0" w:left="0" w:firstLineChars="200" w:firstLine="200"/>
      <w:jc w:val="both"/>
    </w:pPr>
    <w:rPr>
      <w:rFonts w:hAnsi="宋体"/>
    </w:rPr>
  </w:style>
  <w:style w:type="paragraph" w:customStyle="1" w:styleId="af5">
    <w:name w:val="标准文件_图表脚注"/>
    <w:basedOn w:val="affc"/>
    <w:next w:val="affff7"/>
    <w:pPr>
      <w:numPr>
        <w:numId w:val="11"/>
      </w:numPr>
      <w:spacing w:line="240" w:lineRule="auto"/>
      <w:jc w:val="left"/>
    </w:pPr>
    <w:rPr>
      <w:rFonts w:ascii="宋体" w:hAnsi="宋体"/>
      <w:sz w:val="18"/>
    </w:rPr>
  </w:style>
  <w:style w:type="character" w:customStyle="1" w:styleId="affffff2">
    <w:name w:val="标准文件_图表脚注内容"/>
    <w:rPr>
      <w:rFonts w:ascii="宋体" w:eastAsia="宋体" w:hAnsi="宋体" w:cs="Times New Roman"/>
      <w:spacing w:val="0"/>
      <w:sz w:val="18"/>
      <w:vertAlign w:val="superscript"/>
    </w:rPr>
  </w:style>
  <w:style w:type="paragraph" w:customStyle="1" w:styleId="affffff3">
    <w:name w:val="标准文件_五级条标题"/>
    <w:next w:val="affff7"/>
    <w:pPr>
      <w:widowControl w:val="0"/>
      <w:spacing w:beforeLines="50" w:before="50" w:afterLines="50" w:after="50"/>
      <w:jc w:val="both"/>
      <w:outlineLvl w:val="5"/>
    </w:pPr>
    <w:rPr>
      <w:rFonts w:ascii="黑体" w:eastAsia="黑体" w:hAnsi="Times New Roman"/>
      <w:sz w:val="21"/>
    </w:rPr>
  </w:style>
  <w:style w:type="paragraph" w:customStyle="1" w:styleId="affffff4">
    <w:name w:val="标准文件_章标题"/>
    <w:next w:val="affff7"/>
    <w:pPr>
      <w:spacing w:beforeLines="100" w:before="100" w:afterLines="100" w:after="100"/>
      <w:jc w:val="both"/>
      <w:outlineLvl w:val="0"/>
    </w:pPr>
    <w:rPr>
      <w:rFonts w:ascii="黑体" w:eastAsia="黑体" w:hAnsi="Times New Roman"/>
      <w:sz w:val="21"/>
    </w:rPr>
  </w:style>
  <w:style w:type="paragraph" w:customStyle="1" w:styleId="affffff5">
    <w:name w:val="标准文件_一级条标题"/>
    <w:basedOn w:val="affffff4"/>
    <w:next w:val="affff7"/>
    <w:pPr>
      <w:spacing w:beforeLines="50" w:before="50" w:afterLines="50" w:after="50"/>
      <w:outlineLvl w:val="1"/>
    </w:pPr>
  </w:style>
  <w:style w:type="paragraph" w:customStyle="1" w:styleId="affffff6">
    <w:name w:val="标准文件_一致程度"/>
    <w:basedOn w:val="affc"/>
    <w:pPr>
      <w:spacing w:line="440" w:lineRule="exact"/>
      <w:jc w:val="center"/>
    </w:pPr>
    <w:rPr>
      <w:sz w:val="28"/>
    </w:rPr>
  </w:style>
  <w:style w:type="paragraph" w:customStyle="1" w:styleId="affffff7">
    <w:name w:val="标准文件_引言标题"/>
    <w:next w:val="affc"/>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6"/>
    <w:pPr>
      <w:widowControl/>
      <w:adjustRightInd/>
      <w:snapToGrid/>
      <w:spacing w:line="240" w:lineRule="auto"/>
      <w:ind w:left="79" w:hangingChars="80" w:hanging="79"/>
    </w:pPr>
    <w:rPr>
      <w:rFonts w:ascii="宋体" w:hAnsi="宋体"/>
    </w:rPr>
  </w:style>
  <w:style w:type="paragraph" w:customStyle="1" w:styleId="affffff9">
    <w:name w:val="标准文件_数字编号列项（二级）"/>
    <w:pPr>
      <w:jc w:val="both"/>
    </w:pPr>
    <w:rPr>
      <w:rFonts w:ascii="宋体" w:hAnsi="Times New Roman"/>
      <w:sz w:val="21"/>
    </w:rPr>
  </w:style>
  <w:style w:type="paragraph" w:customStyle="1" w:styleId="af">
    <w:name w:val="标准文件_英文注："/>
    <w:basedOn w:val="affc"/>
    <w:next w:val="affff7"/>
    <w:pPr>
      <w:numPr>
        <w:numId w:val="12"/>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c"/>
    <w:pPr>
      <w:numPr>
        <w:numId w:val="13"/>
      </w:numPr>
      <w:tabs>
        <w:tab w:val="left" w:pos="210"/>
      </w:tabs>
      <w:autoSpaceDE w:val="0"/>
      <w:autoSpaceDN w:val="0"/>
      <w:spacing w:line="240" w:lineRule="auto"/>
    </w:pPr>
    <w:rPr>
      <w:rFonts w:ascii="宋体" w:hAnsi="宋体"/>
      <w:kern w:val="0"/>
      <w:szCs w:val="20"/>
    </w:rPr>
  </w:style>
  <w:style w:type="paragraph" w:customStyle="1" w:styleId="aff0">
    <w:name w:val="标准文件_正文表标题"/>
    <w:next w:val="affff7"/>
    <w:pPr>
      <w:numPr>
        <w:numId w:val="14"/>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c"/>
    <w:next w:val="affff6"/>
    <w:pPr>
      <w:tabs>
        <w:tab w:val="center" w:pos="4678"/>
        <w:tab w:val="right" w:leader="middleDot" w:pos="9356"/>
      </w:tabs>
      <w:spacing w:line="240" w:lineRule="auto"/>
    </w:pPr>
    <w:rPr>
      <w:rFonts w:ascii="宋体" w:hAnsi="宋体"/>
    </w:rPr>
  </w:style>
  <w:style w:type="paragraph" w:customStyle="1" w:styleId="afb">
    <w:name w:val="标准文件_正文图标题"/>
    <w:next w:val="affff7"/>
    <w:pPr>
      <w:numPr>
        <w:numId w:val="15"/>
      </w:numPr>
      <w:spacing w:beforeLines="50" w:before="50" w:afterLines="50" w:after="50"/>
      <w:jc w:val="center"/>
    </w:pPr>
    <w:rPr>
      <w:rFonts w:ascii="黑体" w:eastAsia="黑体" w:hAnsi="Times New Roman"/>
      <w:sz w:val="21"/>
    </w:rPr>
  </w:style>
  <w:style w:type="paragraph" w:customStyle="1" w:styleId="affa">
    <w:name w:val="标准文件_正文英文表标题"/>
    <w:next w:val="affff7"/>
    <w:pPr>
      <w:numPr>
        <w:numId w:val="16"/>
      </w:numPr>
      <w:jc w:val="center"/>
    </w:pPr>
    <w:rPr>
      <w:rFonts w:ascii="黑体" w:eastAsia="黑体" w:hAnsi="Times New Roman"/>
      <w:sz w:val="21"/>
    </w:rPr>
  </w:style>
  <w:style w:type="paragraph" w:customStyle="1" w:styleId="af9">
    <w:name w:val="标准文件_正文英文图标题"/>
    <w:next w:val="affff7"/>
    <w:pPr>
      <w:numPr>
        <w:numId w:val="17"/>
      </w:numPr>
      <w:jc w:val="center"/>
    </w:pPr>
    <w:rPr>
      <w:rFonts w:ascii="黑体" w:eastAsia="黑体" w:hAnsi="Times New Roman"/>
      <w:sz w:val="21"/>
    </w:rPr>
  </w:style>
  <w:style w:type="paragraph" w:customStyle="1" w:styleId="affffffb">
    <w:name w:val="标准文件_编号列项（三级）"/>
    <w:rPr>
      <w:rFonts w:ascii="宋体" w:hAnsi="Times New Roman"/>
      <w:sz w:val="21"/>
    </w:rPr>
  </w:style>
  <w:style w:type="paragraph" w:customStyle="1" w:styleId="a1">
    <w:name w:val="二级无标题条"/>
    <w:basedOn w:val="affc"/>
    <w:pPr>
      <w:numPr>
        <w:ilvl w:val="3"/>
        <w:numId w:val="18"/>
      </w:numPr>
      <w:adjustRightInd/>
      <w:spacing w:line="240" w:lineRule="auto"/>
    </w:pPr>
    <w:rPr>
      <w:rFonts w:ascii="宋体" w:hAnsi="宋体"/>
      <w:szCs w:val="24"/>
    </w:rPr>
  </w:style>
  <w:style w:type="paragraph" w:customStyle="1" w:styleId="affffffc">
    <w:name w:val="发布部门"/>
    <w:next w:val="affff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pPr>
      <w:spacing w:before="180" w:line="180" w:lineRule="exact"/>
      <w:jc w:val="center"/>
    </w:pPr>
    <w:rPr>
      <w:rFonts w:ascii="宋体" w:hAnsi="Times New Roman"/>
      <w:sz w:val="21"/>
    </w:rPr>
  </w:style>
  <w:style w:type="paragraph" w:customStyle="1" w:styleId="afffffff1">
    <w:name w:val="封面标准文稿类别"/>
    <w:pPr>
      <w:spacing w:before="440" w:line="400" w:lineRule="exact"/>
      <w:jc w:val="center"/>
    </w:pPr>
    <w:rPr>
      <w:rFonts w:ascii="宋体" w:hAnsi="Times New Roman"/>
      <w:sz w:val="24"/>
    </w:rPr>
  </w:style>
  <w:style w:type="paragraph" w:customStyle="1" w:styleId="afffffff2">
    <w:name w:val="封面标准英文名称"/>
    <w:pPr>
      <w:widowControl w:val="0"/>
      <w:spacing w:line="360" w:lineRule="exact"/>
      <w:jc w:val="center"/>
    </w:pPr>
    <w:rPr>
      <w:rFonts w:ascii="Times New Roman" w:hAnsi="Times New Roman"/>
      <w:sz w:val="28"/>
    </w:rPr>
  </w:style>
  <w:style w:type="paragraph" w:customStyle="1" w:styleId="afffffff3">
    <w:name w:val="封面一致性程度标识"/>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c"/>
    <w:next w:val="a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7"/>
    <w:pPr>
      <w:outlineLvl w:val="4"/>
    </w:pPr>
  </w:style>
  <w:style w:type="paragraph" w:customStyle="1" w:styleId="afffffff7">
    <w:name w:val="附录四级无标题条"/>
    <w:basedOn w:val="afffffff6"/>
    <w:next w:val="affff7"/>
    <w:pPr>
      <w:outlineLvl w:val="5"/>
    </w:pPr>
  </w:style>
  <w:style w:type="paragraph" w:customStyle="1" w:styleId="afffffff8">
    <w:name w:val="附录图"/>
    <w:next w:val="affff7"/>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pPr>
      <w:numPr>
        <w:numId w:val="19"/>
      </w:numPr>
    </w:pPr>
    <w:rPr>
      <w:rFonts w:ascii="宋体" w:hAnsi="Times New Roman"/>
      <w:sz w:val="21"/>
    </w:rPr>
  </w:style>
  <w:style w:type="paragraph" w:customStyle="1" w:styleId="afffffff9">
    <w:name w:val="附录五级无标题条"/>
    <w:basedOn w:val="afffffff7"/>
    <w:next w:val="affff7"/>
    <w:pPr>
      <w:outlineLvl w:val="6"/>
    </w:pPr>
  </w:style>
  <w:style w:type="paragraph" w:customStyle="1" w:styleId="afffffffa">
    <w:name w:val="附录性质"/>
    <w:basedOn w:val="affc"/>
    <w:pPr>
      <w:widowControl/>
      <w:adjustRightInd/>
      <w:jc w:val="center"/>
    </w:pPr>
    <w:rPr>
      <w:rFonts w:ascii="黑体" w:eastAsia="黑体"/>
    </w:rPr>
  </w:style>
  <w:style w:type="paragraph" w:customStyle="1" w:styleId="afffffffb">
    <w:name w:val="附录一级无标题条"/>
    <w:basedOn w:val="afffffa"/>
    <w:next w:val="affff7"/>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pPr>
      <w:ind w:leftChars="350" w:left="350"/>
      <w:jc w:val="both"/>
    </w:pPr>
    <w:rPr>
      <w:rFonts w:ascii="宋体" w:hAnsi="Times New Roman"/>
      <w:sz w:val="18"/>
    </w:rPr>
  </w:style>
  <w:style w:type="paragraph" w:customStyle="1" w:styleId="affb">
    <w:name w:val="列项——"/>
    <w:pPr>
      <w:widowControl w:val="0"/>
      <w:numPr>
        <w:numId w:val="20"/>
      </w:numPr>
      <w:jc w:val="both"/>
    </w:pPr>
    <w:rPr>
      <w:rFonts w:ascii="宋体" w:hAnsi="宋体"/>
      <w:sz w:val="21"/>
    </w:rPr>
  </w:style>
  <w:style w:type="paragraph" w:customStyle="1" w:styleId="affffffff">
    <w:name w:val="列项·"/>
    <w:basedOn w:val="affff7"/>
    <w:pPr>
      <w:tabs>
        <w:tab w:val="left" w:pos="840"/>
      </w:tabs>
    </w:pPr>
  </w:style>
  <w:style w:type="paragraph" w:customStyle="1" w:styleId="affffffff0">
    <w:name w:val="目次、索引正文"/>
    <w:pPr>
      <w:spacing w:line="320" w:lineRule="exact"/>
      <w:jc w:val="both"/>
    </w:pPr>
    <w:rPr>
      <w:rFonts w:ascii="宋体" w:hAnsi="Times New Roman"/>
      <w:sz w:val="21"/>
    </w:rPr>
  </w:style>
  <w:style w:type="paragraph" w:customStyle="1" w:styleId="210">
    <w:name w:val="目录 21"/>
    <w:basedOn w:val="affc"/>
    <w:next w:val="affc"/>
    <w:semiHidden/>
    <w:pPr>
      <w:adjustRightInd/>
      <w:spacing w:line="240" w:lineRule="auto"/>
      <w:jc w:val="left"/>
    </w:pPr>
    <w:rPr>
      <w:bCs/>
      <w:iCs/>
    </w:rPr>
  </w:style>
  <w:style w:type="paragraph" w:customStyle="1" w:styleId="31">
    <w:name w:val="目录 31"/>
    <w:basedOn w:val="affc"/>
    <w:next w:val="affc"/>
    <w:semiHidden/>
    <w:pPr>
      <w:spacing w:line="240" w:lineRule="auto"/>
    </w:pPr>
    <w:rPr>
      <w:rFonts w:ascii="宋体" w:hAnsi="宋体"/>
      <w:iCs/>
    </w:rPr>
  </w:style>
  <w:style w:type="paragraph" w:customStyle="1" w:styleId="41">
    <w:name w:val="目录 41"/>
    <w:basedOn w:val="affc"/>
    <w:next w:val="affc"/>
    <w:semiHidden/>
    <w:pPr>
      <w:adjustRightInd/>
      <w:spacing w:line="240" w:lineRule="auto"/>
      <w:jc w:val="left"/>
    </w:pPr>
  </w:style>
  <w:style w:type="paragraph" w:customStyle="1" w:styleId="51">
    <w:name w:val="目录 51"/>
    <w:basedOn w:val="affc"/>
    <w:next w:val="affc"/>
    <w:semiHidden/>
    <w:pPr>
      <w:spacing w:line="240" w:lineRule="auto"/>
    </w:pPr>
    <w:rPr>
      <w:rFonts w:ascii="宋体" w:hAnsi="宋体"/>
    </w:rPr>
  </w:style>
  <w:style w:type="paragraph" w:customStyle="1" w:styleId="61">
    <w:name w:val="目录 61"/>
    <w:basedOn w:val="affc"/>
    <w:next w:val="affc"/>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ffffff3">
    <w:name w:val="前言标题"/>
    <w:next w:val="affc"/>
    <w:p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c"/>
    <w:pPr>
      <w:numPr>
        <w:ilvl w:val="4"/>
        <w:numId w:val="18"/>
      </w:numPr>
      <w:adjustRightInd/>
      <w:spacing w:line="240" w:lineRule="auto"/>
    </w:pPr>
    <w:rPr>
      <w:rFonts w:ascii="宋体" w:hAnsi="宋体"/>
      <w:szCs w:val="24"/>
    </w:rPr>
  </w:style>
  <w:style w:type="paragraph" w:customStyle="1" w:styleId="affffffff4">
    <w:name w:val="实施日期"/>
    <w:basedOn w:val="affffffd"/>
    <w:pPr>
      <w:framePr w:hSpace="0" w:wrap="around" w:xAlign="right"/>
      <w:jc w:val="right"/>
    </w:pPr>
  </w:style>
  <w:style w:type="paragraph" w:customStyle="1" w:styleId="a3">
    <w:name w:val="四级无标题条"/>
    <w:basedOn w:val="affc"/>
    <w:pPr>
      <w:numPr>
        <w:ilvl w:val="5"/>
        <w:numId w:val="18"/>
      </w:numPr>
      <w:adjustRightInd/>
      <w:spacing w:line="240" w:lineRule="auto"/>
    </w:pPr>
    <w:rPr>
      <w:rFonts w:ascii="宋体" w:hAnsi="宋体"/>
      <w:szCs w:val="24"/>
    </w:rPr>
  </w:style>
  <w:style w:type="paragraph" w:customStyle="1" w:styleId="affffffff5">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7"/>
    <w:pPr>
      <w:jc w:val="both"/>
    </w:pPr>
    <w:rPr>
      <w:rFonts w:ascii="宋体" w:hAnsi="宋体"/>
      <w:sz w:val="21"/>
    </w:rPr>
  </w:style>
  <w:style w:type="paragraph" w:customStyle="1" w:styleId="a4">
    <w:name w:val="五级无标题条"/>
    <w:basedOn w:val="affc"/>
    <w:pPr>
      <w:numPr>
        <w:ilvl w:val="6"/>
        <w:numId w:val="18"/>
      </w:numPr>
      <w:adjustRightInd/>
    </w:pPr>
    <w:rPr>
      <w:szCs w:val="24"/>
    </w:rPr>
  </w:style>
  <w:style w:type="paragraph" w:customStyle="1" w:styleId="a0">
    <w:name w:val="一级无标题条"/>
    <w:basedOn w:val="affc"/>
    <w:pPr>
      <w:numPr>
        <w:ilvl w:val="2"/>
        <w:numId w:val="18"/>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pPr>
      <w:ind w:leftChars="0" w:left="1406" w:firstLineChars="0" w:hanging="499"/>
    </w:pPr>
  </w:style>
  <w:style w:type="paragraph" w:customStyle="1" w:styleId="affffffff9">
    <w:name w:val="标准文件_一级无标题"/>
    <w:basedOn w:val="affffff5"/>
    <w:qFormat/>
    <w:pPr>
      <w:spacing w:beforeLines="0" w:before="0" w:afterLines="0" w:after="0"/>
      <w:outlineLvl w:val="9"/>
    </w:pPr>
    <w:rPr>
      <w:rFonts w:ascii="宋体" w:eastAsia="宋体"/>
    </w:rPr>
  </w:style>
  <w:style w:type="paragraph" w:customStyle="1" w:styleId="affffffffa">
    <w:name w:val="标准文件_五级无标题"/>
    <w:basedOn w:val="affffff3"/>
    <w:qFormat/>
    <w:pPr>
      <w:spacing w:beforeLines="0" w:before="0" w:afterLines="0" w:after="0"/>
      <w:outlineLvl w:val="9"/>
    </w:pPr>
    <w:rPr>
      <w:rFonts w:ascii="宋体" w:eastAsia="宋体"/>
    </w:rPr>
  </w:style>
  <w:style w:type="paragraph" w:customStyle="1" w:styleId="affffffffb">
    <w:name w:val="标准文件_三级无标题"/>
    <w:basedOn w:val="afffffe"/>
    <w:qFormat/>
    <w:pPr>
      <w:spacing w:beforeLines="0" w:before="0" w:afterLines="0" w:after="0"/>
      <w:outlineLvl w:val="9"/>
    </w:pPr>
    <w:rPr>
      <w:rFonts w:ascii="宋体" w:eastAsia="宋体"/>
    </w:rPr>
  </w:style>
  <w:style w:type="paragraph" w:customStyle="1" w:styleId="affffffffc">
    <w:name w:val="标准文件_二级无标题"/>
    <w:basedOn w:val="afffff"/>
    <w:qFormat/>
    <w:pPr>
      <w:spacing w:beforeLines="0" w:before="0" w:afterLines="0" w:after="0"/>
      <w:outlineLvl w:val="9"/>
    </w:pPr>
    <w:rPr>
      <w:rFonts w:ascii="宋体" w:eastAsia="宋体"/>
    </w:rPr>
  </w:style>
  <w:style w:type="paragraph" w:customStyle="1" w:styleId="affffffffd">
    <w:name w:val="标准_四级无标题"/>
    <w:basedOn w:val="affffff0"/>
    <w:next w:val="affff7"/>
    <w:qFormat/>
    <w:rPr>
      <w:rFonts w:eastAsia="宋体"/>
    </w:rPr>
  </w:style>
  <w:style w:type="paragraph" w:customStyle="1" w:styleId="affffffffe">
    <w:name w:val="标准文件_四级无标题"/>
    <w:basedOn w:val="affffff0"/>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7"/>
    <w:pPr>
      <w:numPr>
        <w:numId w:val="21"/>
      </w:numPr>
      <w:ind w:firstLineChars="0" w:firstLine="0"/>
    </w:pPr>
    <w:rPr>
      <w:rFonts w:ascii="Times New Roman" w:cs="Arial"/>
      <w:szCs w:val="28"/>
    </w:rPr>
  </w:style>
  <w:style w:type="paragraph" w:customStyle="1" w:styleId="ae">
    <w:name w:val="标准文件_小写罗马数字编号列项"/>
    <w:basedOn w:val="affff7"/>
    <w:pPr>
      <w:numPr>
        <w:numId w:val="22"/>
      </w:numPr>
      <w:ind w:firstLineChars="0" w:firstLine="0"/>
    </w:pPr>
    <w:rPr>
      <w:rFonts w:cs="Arial"/>
      <w:szCs w:val="28"/>
    </w:rPr>
  </w:style>
  <w:style w:type="paragraph" w:customStyle="1" w:styleId="afffffffff">
    <w:name w:val="标准文件_附录标题"/>
    <w:basedOn w:val="aff1"/>
    <w:qFormat/>
    <w:pPr>
      <w:numPr>
        <w:numId w:val="0"/>
      </w:numPr>
      <w:spacing w:after="280"/>
      <w:outlineLvl w:val="9"/>
    </w:pPr>
  </w:style>
  <w:style w:type="paragraph" w:customStyle="1" w:styleId="afffffffff0">
    <w:name w:val="标准文件_二级项"/>
    <w:rPr>
      <w:rFonts w:ascii="宋体" w:hAnsi="Times New Roman"/>
      <w:sz w:val="21"/>
    </w:rPr>
  </w:style>
  <w:style w:type="paragraph" w:customStyle="1" w:styleId="af4">
    <w:name w:val="标准文件_三级项"/>
    <w:basedOn w:val="affc"/>
    <w:pPr>
      <w:numPr>
        <w:ilvl w:val="2"/>
        <w:numId w:val="19"/>
      </w:numPr>
      <w:spacing w:line="-300" w:lineRule="auto"/>
    </w:pPr>
    <w:rPr>
      <w:rFonts w:ascii="Times New Roman" w:hAnsi="Times New Roman"/>
    </w:rPr>
  </w:style>
  <w:style w:type="paragraph" w:customStyle="1" w:styleId="aff8">
    <w:name w:val="图表脚注说明"/>
    <w:basedOn w:val="affc"/>
    <w:next w:val="affff7"/>
    <w:pPr>
      <w:numPr>
        <w:numId w:val="23"/>
      </w:numPr>
      <w:adjustRightInd/>
      <w:spacing w:line="240" w:lineRule="auto"/>
      <w:ind w:left="783"/>
    </w:pPr>
    <w:rPr>
      <w:rFonts w:ascii="宋体" w:hAnsi="Times New Roman"/>
      <w:sz w:val="18"/>
      <w:szCs w:val="18"/>
    </w:rPr>
  </w:style>
  <w:style w:type="paragraph" w:customStyle="1" w:styleId="afffffffff1">
    <w:name w:val="标准文件_字母编号列项（一级）"/>
    <w:pPr>
      <w:jc w:val="both"/>
    </w:pPr>
    <w:rPr>
      <w:rFonts w:ascii="宋体" w:hAnsi="Times New Roman"/>
      <w:sz w:val="21"/>
    </w:rPr>
  </w:style>
  <w:style w:type="paragraph" w:customStyle="1" w:styleId="afffffffff2">
    <w:name w:val="标准文件_索引字母"/>
    <w:next w:val="affff7"/>
    <w:qFormat/>
    <w:pPr>
      <w:jc w:val="center"/>
    </w:pPr>
    <w:rPr>
      <w:rFonts w:ascii="宋体" w:eastAsia="Times New Roman" w:hAnsi="宋体"/>
      <w:b/>
      <w:kern w:val="2"/>
      <w:sz w:val="21"/>
    </w:rPr>
  </w:style>
  <w:style w:type="paragraph" w:customStyle="1" w:styleId="afffffffff3">
    <w:name w:val="标准文件_附录前"/>
    <w:next w:val="affff7"/>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7"/>
    <w:qFormat/>
    <w:pPr>
      <w:ind w:firstLineChars="0" w:firstLine="0"/>
      <w:jc w:val="center"/>
    </w:pPr>
    <w:rPr>
      <w:sz w:val="18"/>
    </w:rPr>
  </w:style>
  <w:style w:type="paragraph" w:customStyle="1" w:styleId="aff9">
    <w:name w:val="标准文件_注："/>
    <w:next w:val="affff7"/>
    <w:pPr>
      <w:widowControl w:val="0"/>
      <w:numPr>
        <w:numId w:val="24"/>
      </w:numPr>
      <w:autoSpaceDE w:val="0"/>
      <w:autoSpaceDN w:val="0"/>
      <w:jc w:val="both"/>
    </w:pPr>
    <w:rPr>
      <w:rFonts w:ascii="宋体" w:hAnsi="Times New Roman"/>
      <w:sz w:val="18"/>
      <w:szCs w:val="18"/>
    </w:rPr>
  </w:style>
  <w:style w:type="paragraph" w:customStyle="1" w:styleId="a5">
    <w:name w:val="标准文件_注×："/>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6"/>
      </w:numPr>
      <w:jc w:val="both"/>
    </w:pPr>
    <w:rPr>
      <w:rFonts w:ascii="宋体" w:hAnsi="Times New Roman"/>
      <w:sz w:val="18"/>
      <w:szCs w:val="18"/>
    </w:rPr>
  </w:style>
  <w:style w:type="paragraph" w:customStyle="1" w:styleId="afffffffff6">
    <w:name w:val="标准文件_示例内容"/>
    <w:basedOn w:val="affff7"/>
    <w:qFormat/>
    <w:pPr>
      <w:ind w:firstLine="420"/>
    </w:pPr>
    <w:rPr>
      <w:sz w:val="18"/>
    </w:rPr>
  </w:style>
  <w:style w:type="paragraph" w:customStyle="1" w:styleId="af8">
    <w:name w:val="标准文件_示例×："/>
    <w:basedOn w:val="affc"/>
    <w:next w:val="afffffffff6"/>
    <w:qFormat/>
    <w:pPr>
      <w:widowControl/>
      <w:numPr>
        <w:numId w:val="27"/>
      </w:numPr>
      <w:adjustRightInd/>
      <w:spacing w:line="240" w:lineRule="auto"/>
    </w:pPr>
    <w:rPr>
      <w:rFonts w:ascii="宋体" w:hAnsi="Times New Roman"/>
      <w:kern w:val="0"/>
      <w:sz w:val="18"/>
      <w:szCs w:val="18"/>
    </w:rPr>
  </w:style>
  <w:style w:type="character" w:customStyle="1" w:styleId="Char6">
    <w:name w:val="标准文件_段 Char"/>
    <w:link w:val="affff7"/>
    <w:rPr>
      <w:rFonts w:ascii="宋体" w:hAnsi="Times New Roman"/>
      <w:sz w:val="21"/>
    </w:rPr>
  </w:style>
  <w:style w:type="paragraph" w:customStyle="1" w:styleId="afffffffff7">
    <w:name w:val="标准文件_表格续"/>
    <w:basedOn w:val="affff7"/>
    <w:next w:val="affff7"/>
    <w:qFormat/>
    <w:pPr>
      <w:jc w:val="center"/>
    </w:pPr>
    <w:rPr>
      <w:rFonts w:ascii="黑体" w:eastAsia="黑体" w:hAnsi="黑体"/>
    </w:rPr>
  </w:style>
  <w:style w:type="character" w:styleId="afffffffff8">
    <w:name w:val="Placeholder Text"/>
    <w:uiPriority w:val="99"/>
    <w:semiHidden/>
    <w:rPr>
      <w:color w:val="808080"/>
    </w:rPr>
  </w:style>
  <w:style w:type="paragraph" w:customStyle="1" w:styleId="2">
    <w:name w:val="标准文件_二级项2"/>
    <w:basedOn w:val="affff7"/>
    <w:qFormat/>
    <w:pPr>
      <w:numPr>
        <w:ilvl w:val="1"/>
        <w:numId w:val="19"/>
      </w:numPr>
      <w:ind w:left="1271" w:firstLineChars="0" w:hanging="420"/>
    </w:pPr>
  </w:style>
  <w:style w:type="paragraph" w:customStyle="1" w:styleId="21">
    <w:name w:val="标准文件_三级项2"/>
    <w:basedOn w:val="affff7"/>
    <w:qFormat/>
    <w:pPr>
      <w:numPr>
        <w:numId w:val="28"/>
      </w:numPr>
      <w:spacing w:line="300" w:lineRule="exact"/>
      <w:ind w:left="1276" w:firstLineChars="0" w:hanging="425"/>
    </w:pPr>
    <w:rPr>
      <w:rFonts w:ascii="Times New Roman"/>
    </w:rPr>
  </w:style>
  <w:style w:type="paragraph" w:customStyle="1" w:styleId="20">
    <w:name w:val="标准文件_一级项2"/>
    <w:basedOn w:val="affff7"/>
    <w:qFormat/>
    <w:pPr>
      <w:numPr>
        <w:numId w:val="29"/>
      </w:numPr>
      <w:spacing w:line="300" w:lineRule="exact"/>
      <w:ind w:left="1271" w:firstLineChars="0" w:hanging="420"/>
    </w:pPr>
    <w:rPr>
      <w:rFonts w:ascii="Times New Roman"/>
    </w:rPr>
  </w:style>
  <w:style w:type="paragraph" w:customStyle="1" w:styleId="afffffffff9">
    <w:name w:val="标准文件_提示"/>
    <w:basedOn w:val="affff7"/>
    <w:next w:val="affff7"/>
    <w:qFormat/>
    <w:pPr>
      <w:ind w:firstLine="420"/>
    </w:pPr>
    <w:rPr>
      <w:rFonts w:ascii="黑体" w:eastAsia="黑体"/>
    </w:rPr>
  </w:style>
  <w:style w:type="character" w:customStyle="1" w:styleId="afffffffffa">
    <w:name w:val="标准文件_来源"/>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d"/>
    <w:pPr>
      <w:framePr w:w="3997" w:h="471" w:hRule="exact" w:hSpace="0" w:vSpace="181" w:wrap="around" w:vAnchor="page" w:hAnchor="page" w:x="1419" w:y="14097"/>
    </w:pPr>
  </w:style>
  <w:style w:type="paragraph" w:customStyle="1" w:styleId="afffffffffd">
    <w:name w:val="其他实施日期"/>
    <w:basedOn w:val="affffffff4"/>
    <w:pPr>
      <w:framePr w:w="3997" w:h="471" w:hRule="exact" w:vSpace="181" w:wrap="around" w:vAnchor="page" w:hAnchor="page" w:x="7089" w:y="14097"/>
    </w:pPr>
  </w:style>
  <w:style w:type="paragraph" w:customStyle="1" w:styleId="afffffffffe">
    <w:name w:val="标准文件_文件编号"/>
    <w:basedOn w:val="a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7"/>
    <w:next w:val="a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7"/>
    <w:next w:val="affff7"/>
    <w:qFormat/>
    <w:pPr>
      <w:numPr>
        <w:numId w:val="5"/>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7"/>
    <w:next w:val="affff7"/>
    <w:qFormat/>
    <w:pPr>
      <w:numPr>
        <w:numId w:val="4"/>
      </w:numPr>
      <w:spacing w:line="14" w:lineRule="exact"/>
      <w:ind w:firstLineChars="0" w:firstLine="0"/>
      <w:jc w:val="center"/>
    </w:pPr>
    <w:rPr>
      <w:rFonts w:eastAsia="黑体"/>
      <w:vanish/>
      <w:sz w:val="2"/>
    </w:rPr>
  </w:style>
  <w:style w:type="paragraph" w:customStyle="1" w:styleId="a7">
    <w:name w:val="标准文件_引言一级条标题"/>
    <w:basedOn w:val="affff7"/>
    <w:next w:val="affff7"/>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pPr>
      <w:numPr>
        <w:ilvl w:val="5"/>
        <w:numId w:val="7"/>
      </w:numPr>
      <w:spacing w:beforeLines="50" w:before="50" w:afterLines="50" w:after="50"/>
      <w:ind w:firstLineChars="0"/>
    </w:pPr>
    <w:rPr>
      <w:rFonts w:ascii="黑体" w:eastAsia="黑体"/>
    </w:rPr>
  </w:style>
  <w:style w:type="paragraph" w:customStyle="1" w:styleId="affffffffff1">
    <w:name w:val="标准文件_注后"/>
    <w:basedOn w:val="affff7"/>
    <w:qFormat/>
    <w:pPr>
      <w:ind w:left="811" w:firstLineChars="0" w:firstLine="0"/>
    </w:pPr>
    <w:rPr>
      <w:sz w:val="18"/>
    </w:rPr>
  </w:style>
  <w:style w:type="paragraph" w:customStyle="1" w:styleId="X">
    <w:name w:val="标准文件_注X后"/>
    <w:basedOn w:val="affff7"/>
    <w:qFormat/>
    <w:pPr>
      <w:ind w:left="811" w:firstLineChars="0" w:firstLine="0"/>
    </w:pPr>
    <w:rPr>
      <w:sz w:val="18"/>
    </w:rPr>
  </w:style>
  <w:style w:type="paragraph" w:customStyle="1" w:styleId="affffffffff2">
    <w:name w:val="标准文件_示例后"/>
    <w:basedOn w:val="affff7"/>
    <w:qFormat/>
    <w:pPr>
      <w:ind w:left="964" w:firstLineChars="0" w:firstLine="0"/>
    </w:pPr>
    <w:rPr>
      <w:sz w:val="18"/>
    </w:rPr>
  </w:style>
  <w:style w:type="paragraph" w:customStyle="1" w:styleId="X0">
    <w:name w:val="标准文件_示例X后"/>
    <w:basedOn w:val="affff7"/>
    <w:link w:val="X1"/>
    <w:qFormat/>
    <w:pPr>
      <w:ind w:left="1049" w:firstLineChars="0" w:firstLine="0"/>
    </w:pPr>
    <w:rPr>
      <w:sz w:val="18"/>
    </w:rPr>
  </w:style>
  <w:style w:type="character" w:customStyle="1" w:styleId="X1">
    <w:name w:val="标准文件_示例X后 字符"/>
    <w:link w:val="X0"/>
    <w:rPr>
      <w:rFonts w:ascii="宋体" w:hAnsi="Times New Roman"/>
      <w:sz w:val="18"/>
    </w:rPr>
  </w:style>
  <w:style w:type="paragraph" w:customStyle="1" w:styleId="affffffffff3">
    <w:name w:val="标准文件_索引项"/>
    <w:basedOn w:val="affff7"/>
    <w:next w:val="affff7"/>
    <w:qFormat/>
    <w:pPr>
      <w:tabs>
        <w:tab w:val="right" w:leader="dot" w:pos="9356"/>
      </w:tabs>
      <w:ind w:left="210" w:firstLineChars="0" w:hanging="210"/>
      <w:jc w:val="left"/>
    </w:pPr>
  </w:style>
  <w:style w:type="paragraph" w:customStyle="1" w:styleId="affffffffff4">
    <w:name w:val="标准文件_附录一级无标题"/>
    <w:basedOn w:val="aff2"/>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3"/>
    <w:pPr>
      <w:spacing w:beforeLines="0" w:before="0" w:afterLines="0" w:after="0" w:line="276" w:lineRule="auto"/>
      <w:outlineLvl w:val="9"/>
    </w:pPr>
    <w:rPr>
      <w:rFonts w:ascii="宋体" w:eastAsia="宋体"/>
    </w:rPr>
  </w:style>
  <w:style w:type="paragraph" w:customStyle="1" w:styleId="affffffffff6">
    <w:name w:val="标准文件_附录三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6"/>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7"/>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7"/>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7"/>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7"/>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7"/>
    <w:qFormat/>
    <w:pPr>
      <w:spacing w:beforeLines="0" w:before="0" w:afterLines="0" w:after="0" w:line="276" w:lineRule="auto"/>
    </w:pPr>
    <w:rPr>
      <w:rFonts w:ascii="宋体" w:eastAsia="宋体"/>
    </w:rPr>
  </w:style>
  <w:style w:type="paragraph" w:customStyle="1" w:styleId="affffffffffe">
    <w:name w:val="标准文件_索引标题"/>
    <w:basedOn w:val="affffe"/>
    <w:next w:val="affff7"/>
    <w:qFormat/>
    <w:rPr>
      <w:rFonts w:hAnsi="黑体"/>
    </w:rPr>
  </w:style>
  <w:style w:type="paragraph" w:customStyle="1" w:styleId="afffffffffff">
    <w:name w:val="标准文件_脚注内容"/>
    <w:basedOn w:val="affff7"/>
    <w:qFormat/>
    <w:pPr>
      <w:ind w:leftChars="200" w:left="400" w:hangingChars="200" w:hanging="200"/>
    </w:pPr>
    <w:rPr>
      <w:sz w:val="15"/>
    </w:rPr>
  </w:style>
  <w:style w:type="paragraph" w:customStyle="1" w:styleId="afffffffffff0">
    <w:name w:val="标准文件_术语条一"/>
    <w:basedOn w:val="affffffff9"/>
    <w:next w:val="affff7"/>
    <w:qFormat/>
  </w:style>
  <w:style w:type="paragraph" w:customStyle="1" w:styleId="afffffffffff1">
    <w:name w:val="标准文件_术语条二"/>
    <w:basedOn w:val="affffffffc"/>
    <w:next w:val="affff7"/>
    <w:qFormat/>
  </w:style>
  <w:style w:type="paragraph" w:customStyle="1" w:styleId="afffffffffff2">
    <w:name w:val="标准文件_术语条三"/>
    <w:basedOn w:val="affffffffb"/>
    <w:next w:val="affff7"/>
    <w:qFormat/>
  </w:style>
  <w:style w:type="paragraph" w:customStyle="1" w:styleId="afffffffffff3">
    <w:name w:val="标准文件_术语条四"/>
    <w:basedOn w:val="affffffffe"/>
    <w:next w:val="affff7"/>
    <w:qFormat/>
  </w:style>
  <w:style w:type="paragraph" w:customStyle="1" w:styleId="afffffffffff4">
    <w:name w:val="标准文件_术语条五"/>
    <w:basedOn w:val="affffffffa"/>
    <w:next w:val="a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rPr>
      <w:rFonts w:ascii="黑体" w:eastAsia="黑体"/>
      <w:spacing w:val="85"/>
      <w:w w:val="100"/>
      <w:position w:val="3"/>
      <w:sz w:val="28"/>
      <w:szCs w:val="28"/>
    </w:rPr>
  </w:style>
  <w:style w:type="character" w:customStyle="1" w:styleId="Char7">
    <w:name w:val="段 Char"/>
    <w:link w:val="afffffffffff6"/>
    <w:rPr>
      <w:rFonts w:ascii="宋体"/>
      <w:sz w:val="21"/>
    </w:rPr>
  </w:style>
  <w:style w:type="paragraph" w:customStyle="1" w:styleId="afffffffffff6">
    <w:name w:val="段"/>
    <w:link w:val="Char7"/>
    <w:pPr>
      <w:tabs>
        <w:tab w:val="center" w:pos="4201"/>
        <w:tab w:val="right" w:leader="dot" w:pos="9298"/>
      </w:tabs>
      <w:autoSpaceDE w:val="0"/>
      <w:autoSpaceDN w:val="0"/>
      <w:ind w:firstLineChars="200" w:firstLine="420"/>
      <w:jc w:val="both"/>
    </w:pPr>
    <w:rPr>
      <w:rFonts w:ascii="宋体"/>
      <w:sz w:val="21"/>
    </w:rPr>
  </w:style>
  <w:style w:type="paragraph" w:customStyle="1" w:styleId="af2">
    <w:name w:val="一级条标题"/>
    <w:next w:val="affc"/>
    <w:pPr>
      <w:numPr>
        <w:ilvl w:val="1"/>
        <w:numId w:val="30"/>
      </w:numPr>
      <w:spacing w:beforeLines="50" w:before="156" w:afterLines="50" w:after="156"/>
      <w:ind w:left="284"/>
      <w:outlineLvl w:val="2"/>
    </w:pPr>
    <w:rPr>
      <w:rFonts w:ascii="黑体" w:eastAsia="黑体" w:hAnsi="Times New Roman"/>
      <w:sz w:val="21"/>
      <w:szCs w:val="21"/>
    </w:rPr>
  </w:style>
  <w:style w:type="paragraph" w:styleId="afffffffffff7">
    <w:name w:val="List Paragraph"/>
    <w:basedOn w:val="affc"/>
    <w:link w:val="Char8"/>
    <w:uiPriority w:val="34"/>
    <w:qFormat/>
    <w:pPr>
      <w:adjustRightInd/>
      <w:spacing w:line="240" w:lineRule="auto"/>
      <w:ind w:firstLineChars="200" w:firstLine="420"/>
    </w:pPr>
    <w:rPr>
      <w:szCs w:val="22"/>
    </w:rPr>
  </w:style>
  <w:style w:type="paragraph" w:customStyle="1" w:styleId="afffffffffff8">
    <w:name w:val="目次、标准名称标题"/>
    <w:basedOn w:val="affc"/>
    <w:next w:val="afffffffffff6"/>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character" w:customStyle="1" w:styleId="Char8">
    <w:name w:val="列出段落 Char"/>
    <w:link w:val="afffffffffff7"/>
    <w:uiPriority w:val="34"/>
    <w:rPr>
      <w:kern w:val="2"/>
      <w:sz w:val="21"/>
      <w:szCs w:val="22"/>
    </w:rPr>
  </w:style>
  <w:style w:type="paragraph" w:customStyle="1" w:styleId="ARISTEXT">
    <w:name w:val="ARIS TEXT"/>
    <w:basedOn w:val="affc"/>
    <w:link w:val="ARISTEXTChar"/>
    <w:qFormat/>
    <w:pPr>
      <w:adjustRightInd/>
      <w:spacing w:line="240" w:lineRule="auto"/>
    </w:pPr>
    <w:rPr>
      <w:rFonts w:ascii="Cambria Math" w:hAnsi="Cambria Math" w:cs="宋体"/>
      <w:kern w:val="0"/>
    </w:rPr>
  </w:style>
  <w:style w:type="character" w:customStyle="1" w:styleId="ARISTEXTChar">
    <w:name w:val="ARIS TEXT Char"/>
    <w:link w:val="ARISTEXT"/>
    <w:qFormat/>
    <w:rPr>
      <w:rFonts w:ascii="Cambria Math" w:hAnsi="Cambria Math" w:cs="宋体"/>
      <w:sz w:val="21"/>
      <w:szCs w:val="21"/>
    </w:rPr>
  </w:style>
  <w:style w:type="paragraph" w:customStyle="1" w:styleId="12">
    <w:name w:val="正文缩进1"/>
    <w:basedOn w:val="affc"/>
    <w:qFormat/>
    <w:pPr>
      <w:adjustRightInd/>
      <w:spacing w:before="120" w:after="120" w:line="240" w:lineRule="auto"/>
      <w:ind w:left="940"/>
    </w:pPr>
    <w:rPr>
      <w:rFonts w:ascii="Times New Roman" w:hAnsi="Times New Roman"/>
      <w:kern w:val="0"/>
      <w:sz w:val="24"/>
      <w:szCs w:val="20"/>
    </w:rPr>
  </w:style>
  <w:style w:type="paragraph" w:customStyle="1" w:styleId="ARISTITLE1">
    <w:name w:val="ARIS TITLE1"/>
    <w:basedOn w:val="affc"/>
    <w:pPr>
      <w:keepNext/>
      <w:keepLines/>
      <w:numPr>
        <w:numId w:val="31"/>
      </w:numPr>
      <w:autoSpaceDE w:val="0"/>
      <w:autoSpaceDN w:val="0"/>
      <w:spacing w:before="120" w:after="120" w:line="276" w:lineRule="auto"/>
      <w:ind w:right="210"/>
      <w:jc w:val="left"/>
      <w:outlineLvl w:val="0"/>
    </w:pPr>
    <w:rPr>
      <w:rFonts w:ascii="Times New Roman" w:hAnsi="Times New Roman"/>
      <w:b/>
      <w:bCs/>
      <w:kern w:val="0"/>
      <w:sz w:val="24"/>
      <w:szCs w:val="24"/>
    </w:rPr>
  </w:style>
  <w:style w:type="paragraph" w:customStyle="1" w:styleId="ARISTITLE2">
    <w:name w:val="ARIS TITLE2"/>
    <w:basedOn w:val="affc"/>
    <w:link w:val="ARISTITLE2Char"/>
    <w:qFormat/>
    <w:pPr>
      <w:keepNext/>
      <w:keepLines/>
      <w:numPr>
        <w:ilvl w:val="1"/>
        <w:numId w:val="31"/>
      </w:numPr>
      <w:tabs>
        <w:tab w:val="left" w:pos="709"/>
      </w:tabs>
      <w:autoSpaceDE w:val="0"/>
      <w:autoSpaceDN w:val="0"/>
      <w:spacing w:before="120" w:after="120" w:line="276" w:lineRule="auto"/>
      <w:jc w:val="left"/>
      <w:outlineLvl w:val="0"/>
    </w:pPr>
    <w:rPr>
      <w:rFonts w:ascii="Times New Roman" w:hAnsi="Times New Roman"/>
      <w:b/>
      <w:kern w:val="0"/>
      <w:sz w:val="24"/>
      <w:szCs w:val="24"/>
    </w:rPr>
  </w:style>
  <w:style w:type="paragraph" w:customStyle="1" w:styleId="ARISTITLE3">
    <w:name w:val="ARIS TITLE3"/>
    <w:basedOn w:val="1"/>
    <w:next w:val="affc"/>
    <w:qFormat/>
    <w:pPr>
      <w:numPr>
        <w:ilvl w:val="2"/>
        <w:numId w:val="31"/>
      </w:numPr>
      <w:tabs>
        <w:tab w:val="left" w:pos="0"/>
      </w:tabs>
      <w:adjustRightInd/>
      <w:spacing w:before="120" w:after="120" w:line="280" w:lineRule="exact"/>
      <w:ind w:left="0" w:firstLine="0"/>
      <w:jc w:val="left"/>
    </w:pPr>
    <w:rPr>
      <w:rFonts w:ascii="Times New Roman" w:hAnsi="Times New Roman"/>
      <w:bCs w:val="0"/>
      <w:sz w:val="24"/>
      <w:szCs w:val="20"/>
    </w:rPr>
  </w:style>
  <w:style w:type="paragraph" w:customStyle="1" w:styleId="ARISTITLE4">
    <w:name w:val="ARIS TITLE4"/>
    <w:basedOn w:val="ARISTEXT"/>
    <w:qFormat/>
    <w:pPr>
      <w:numPr>
        <w:ilvl w:val="3"/>
        <w:numId w:val="31"/>
      </w:numPr>
      <w:outlineLvl w:val="3"/>
    </w:pPr>
  </w:style>
  <w:style w:type="paragraph" w:customStyle="1" w:styleId="ARISTITLE5">
    <w:name w:val="ARIS TITLE5"/>
    <w:basedOn w:val="ARISTEXT"/>
    <w:pPr>
      <w:numPr>
        <w:ilvl w:val="4"/>
        <w:numId w:val="31"/>
      </w:numPr>
      <w:spacing w:before="50" w:after="50"/>
      <w:outlineLvl w:val="4"/>
    </w:pPr>
  </w:style>
  <w:style w:type="paragraph" w:customStyle="1" w:styleId="ARISTITLE6">
    <w:name w:val="ARIS TITLE6"/>
    <w:basedOn w:val="ARISTITLE5"/>
    <w:pPr>
      <w:numPr>
        <w:ilvl w:val="5"/>
      </w:numPr>
      <w:outlineLvl w:val="5"/>
    </w:pPr>
  </w:style>
  <w:style w:type="paragraph" w:customStyle="1" w:styleId="ARISTITLE7">
    <w:name w:val="ARIS TITLE7"/>
    <w:basedOn w:val="ARISTITLE6"/>
    <w:pPr>
      <w:numPr>
        <w:ilvl w:val="6"/>
      </w:numPr>
      <w:outlineLvl w:val="6"/>
    </w:pPr>
  </w:style>
  <w:style w:type="paragraph" w:customStyle="1" w:styleId="ARISTITLE8">
    <w:name w:val="ARIS TITLE8"/>
    <w:basedOn w:val="ARISTITLE7"/>
    <w:pPr>
      <w:numPr>
        <w:ilvl w:val="7"/>
      </w:numPr>
      <w:ind w:leftChars="200" w:left="200"/>
      <w:outlineLvl w:val="7"/>
    </w:pPr>
  </w:style>
  <w:style w:type="character" w:styleId="afffffffffff9">
    <w:name w:val="annotation reference"/>
    <w:basedOn w:val="affd"/>
    <w:uiPriority w:val="99"/>
    <w:semiHidden/>
    <w:unhideWhenUsed/>
    <w:rPr>
      <w:sz w:val="21"/>
      <w:szCs w:val="21"/>
    </w:rPr>
  </w:style>
  <w:style w:type="character" w:customStyle="1" w:styleId="ARISTITLE2Char">
    <w:name w:val="ARIS TITLE2 Char"/>
    <w:link w:val="ARISTITLE2"/>
    <w:rsid w:val="00843446"/>
    <w:rPr>
      <w:rFonts w:ascii="Times New Roman" w:hAnsi="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uiPriority="0" w:unhideWhenUsed="0"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c">
    <w:name w:val="Normal"/>
    <w:qFormat/>
    <w:pPr>
      <w:widowControl w:val="0"/>
      <w:adjustRightInd w:val="0"/>
      <w:spacing w:line="400" w:lineRule="exact"/>
      <w:jc w:val="both"/>
    </w:pPr>
    <w:rPr>
      <w:kern w:val="2"/>
      <w:sz w:val="21"/>
      <w:szCs w:val="21"/>
    </w:rPr>
  </w:style>
  <w:style w:type="paragraph" w:styleId="1">
    <w:name w:val="heading 1"/>
    <w:basedOn w:val="affc"/>
    <w:next w:val="affc"/>
    <w:link w:val="1Char"/>
    <w:qFormat/>
    <w:pPr>
      <w:keepNext/>
      <w:keepLines/>
      <w:spacing w:before="340" w:after="330" w:line="578" w:lineRule="auto"/>
      <w:outlineLvl w:val="0"/>
    </w:pPr>
    <w:rPr>
      <w:b/>
      <w:bCs/>
      <w:kern w:val="44"/>
      <w:sz w:val="44"/>
      <w:szCs w:val="44"/>
    </w:rPr>
  </w:style>
  <w:style w:type="paragraph" w:styleId="22">
    <w:name w:val="heading 2"/>
    <w:basedOn w:val="affc"/>
    <w:next w:val="affc"/>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c"/>
    <w:next w:val="affc"/>
    <w:link w:val="3Char"/>
    <w:qFormat/>
    <w:pPr>
      <w:keepNext/>
      <w:keepLines/>
      <w:spacing w:before="260" w:after="260" w:line="416" w:lineRule="auto"/>
      <w:outlineLvl w:val="2"/>
    </w:pPr>
    <w:rPr>
      <w:b/>
      <w:bCs/>
      <w:sz w:val="32"/>
      <w:szCs w:val="32"/>
    </w:rPr>
  </w:style>
  <w:style w:type="paragraph" w:styleId="4">
    <w:name w:val="heading 4"/>
    <w:basedOn w:val="affc"/>
    <w:next w:val="affc"/>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c"/>
    <w:next w:val="affc"/>
    <w:link w:val="5Char"/>
    <w:qFormat/>
    <w:pPr>
      <w:keepNext/>
      <w:keepLines/>
      <w:adjustRightInd/>
      <w:spacing w:before="280" w:after="290" w:line="376" w:lineRule="auto"/>
      <w:outlineLvl w:val="4"/>
    </w:pPr>
    <w:rPr>
      <w:b/>
      <w:bCs/>
      <w:sz w:val="28"/>
      <w:szCs w:val="28"/>
    </w:rPr>
  </w:style>
  <w:style w:type="paragraph" w:styleId="6">
    <w:name w:val="heading 6"/>
    <w:basedOn w:val="affc"/>
    <w:next w:val="affc"/>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c"/>
    <w:next w:val="affc"/>
    <w:link w:val="7Char"/>
    <w:qFormat/>
    <w:pPr>
      <w:keepNext/>
      <w:keepLines/>
      <w:adjustRightInd/>
      <w:spacing w:before="240" w:after="64" w:line="320" w:lineRule="auto"/>
      <w:outlineLvl w:val="6"/>
    </w:pPr>
    <w:rPr>
      <w:b/>
      <w:bCs/>
      <w:sz w:val="24"/>
      <w:szCs w:val="24"/>
    </w:rPr>
  </w:style>
  <w:style w:type="paragraph" w:styleId="8">
    <w:name w:val="heading 8"/>
    <w:basedOn w:val="affc"/>
    <w:next w:val="affc"/>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c"/>
    <w:next w:val="affc"/>
    <w:link w:val="9Char"/>
    <w:qFormat/>
    <w:pPr>
      <w:keepNext/>
      <w:keepLines/>
      <w:adjustRightInd/>
      <w:spacing w:before="240" w:after="64" w:line="320" w:lineRule="auto"/>
      <w:outlineLvl w:val="8"/>
    </w:pPr>
    <w:rPr>
      <w:rFonts w:ascii="Arial" w:eastAsia="黑体" w:hAnsi="Arial"/>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0">
    <w:name w:val="toc 7"/>
    <w:basedOn w:val="affc"/>
    <w:next w:val="affc"/>
    <w:uiPriority w:val="39"/>
    <w:unhideWhenUsed/>
    <w:pPr>
      <w:tabs>
        <w:tab w:val="right" w:leader="dot" w:pos="9344"/>
      </w:tabs>
      <w:spacing w:line="300" w:lineRule="exact"/>
      <w:ind w:left="1259"/>
    </w:pPr>
    <w:rPr>
      <w:rFonts w:ascii="宋体"/>
    </w:rPr>
  </w:style>
  <w:style w:type="paragraph" w:styleId="afff0">
    <w:name w:val="Normal Indent"/>
    <w:basedOn w:val="affc"/>
    <w:pPr>
      <w:ind w:firstLine="420"/>
    </w:pPr>
  </w:style>
  <w:style w:type="paragraph" w:styleId="afff1">
    <w:name w:val="caption"/>
    <w:basedOn w:val="affc"/>
    <w:next w:val="affc"/>
    <w:qFormat/>
    <w:pPr>
      <w:adjustRightInd/>
      <w:spacing w:before="152" w:after="160" w:line="240" w:lineRule="auto"/>
    </w:pPr>
    <w:rPr>
      <w:rFonts w:ascii="Arial" w:eastAsia="黑体" w:hAnsi="Arial" w:cs="Arial"/>
      <w:sz w:val="20"/>
      <w:szCs w:val="20"/>
    </w:rPr>
  </w:style>
  <w:style w:type="paragraph" w:styleId="afff2">
    <w:name w:val="annotation text"/>
    <w:basedOn w:val="affc"/>
    <w:uiPriority w:val="99"/>
    <w:semiHidden/>
    <w:unhideWhenUsed/>
    <w:pPr>
      <w:jc w:val="left"/>
    </w:pPr>
  </w:style>
  <w:style w:type="paragraph" w:styleId="afff3">
    <w:name w:val="Body Text"/>
    <w:basedOn w:val="affc"/>
    <w:link w:val="Char"/>
    <w:pPr>
      <w:spacing w:after="120"/>
    </w:pPr>
  </w:style>
  <w:style w:type="paragraph" w:styleId="50">
    <w:name w:val="toc 5"/>
    <w:basedOn w:val="affc"/>
    <w:next w:val="affc"/>
    <w:uiPriority w:val="39"/>
    <w:unhideWhenUsed/>
    <w:pPr>
      <w:ind w:left="839"/>
    </w:pPr>
    <w:rPr>
      <w:rFonts w:ascii="宋体"/>
    </w:rPr>
  </w:style>
  <w:style w:type="paragraph" w:styleId="30">
    <w:name w:val="toc 3"/>
    <w:basedOn w:val="affc"/>
    <w:next w:val="affc"/>
    <w:uiPriority w:val="39"/>
    <w:unhideWhenUsed/>
    <w:pPr>
      <w:spacing w:line="300" w:lineRule="exact"/>
      <w:ind w:left="420"/>
    </w:pPr>
    <w:rPr>
      <w:rFonts w:ascii="宋体"/>
    </w:rPr>
  </w:style>
  <w:style w:type="paragraph" w:styleId="afff4">
    <w:name w:val="Balloon Text"/>
    <w:basedOn w:val="affc"/>
    <w:link w:val="Char0"/>
    <w:uiPriority w:val="99"/>
    <w:semiHidden/>
    <w:unhideWhenUsed/>
    <w:rPr>
      <w:sz w:val="18"/>
      <w:szCs w:val="18"/>
    </w:rPr>
  </w:style>
  <w:style w:type="paragraph" w:styleId="afff5">
    <w:name w:val="footer"/>
    <w:basedOn w:val="affc"/>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6">
    <w:name w:val="header"/>
    <w:basedOn w:val="affc"/>
    <w:link w:val="Char2"/>
    <w:uiPriority w:val="99"/>
    <w:pPr>
      <w:tabs>
        <w:tab w:val="center" w:pos="4153"/>
        <w:tab w:val="right" w:pos="8306"/>
      </w:tabs>
      <w:adjustRightInd/>
      <w:snapToGrid w:val="0"/>
      <w:jc w:val="center"/>
    </w:pPr>
    <w:rPr>
      <w:sz w:val="18"/>
      <w:szCs w:val="18"/>
    </w:rPr>
  </w:style>
  <w:style w:type="paragraph" w:styleId="10">
    <w:name w:val="toc 1"/>
    <w:basedOn w:val="affc"/>
    <w:next w:val="affc"/>
    <w:uiPriority w:val="39"/>
    <w:unhideWhenUsed/>
    <w:rPr>
      <w:rFonts w:ascii="宋体"/>
    </w:rPr>
  </w:style>
  <w:style w:type="paragraph" w:styleId="40">
    <w:name w:val="toc 4"/>
    <w:basedOn w:val="affc"/>
    <w:next w:val="affc"/>
    <w:uiPriority w:val="39"/>
    <w:unhideWhenUsed/>
    <w:pPr>
      <w:tabs>
        <w:tab w:val="right" w:leader="dot" w:pos="9344"/>
      </w:tabs>
      <w:spacing w:line="300" w:lineRule="exact"/>
      <w:ind w:left="629"/>
    </w:pPr>
    <w:rPr>
      <w:rFonts w:ascii="宋体"/>
    </w:rPr>
  </w:style>
  <w:style w:type="paragraph" w:styleId="afff7">
    <w:name w:val="footnote text"/>
    <w:basedOn w:val="affc"/>
    <w:next w:val="affc"/>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c"/>
    <w:next w:val="affc"/>
    <w:uiPriority w:val="39"/>
    <w:unhideWhenUsed/>
    <w:pPr>
      <w:spacing w:line="300" w:lineRule="exact"/>
      <w:ind w:left="1049"/>
    </w:pPr>
    <w:rPr>
      <w:rFonts w:ascii="宋体"/>
    </w:rPr>
  </w:style>
  <w:style w:type="paragraph" w:styleId="afff8">
    <w:name w:val="table of figures"/>
    <w:basedOn w:val="affc"/>
    <w:next w:val="affc"/>
    <w:semiHidden/>
    <w:pPr>
      <w:adjustRightInd/>
      <w:spacing w:line="240" w:lineRule="auto"/>
      <w:jc w:val="left"/>
    </w:pPr>
    <w:rPr>
      <w:szCs w:val="24"/>
    </w:rPr>
  </w:style>
  <w:style w:type="paragraph" w:styleId="23">
    <w:name w:val="toc 2"/>
    <w:basedOn w:val="affc"/>
    <w:next w:val="affc"/>
    <w:uiPriority w:val="39"/>
    <w:unhideWhenUsed/>
    <w:pPr>
      <w:tabs>
        <w:tab w:val="right" w:leader="dot" w:pos="9344"/>
      </w:tabs>
      <w:spacing w:line="300" w:lineRule="exact"/>
      <w:ind w:left="210"/>
    </w:pPr>
    <w:rPr>
      <w:rFonts w:ascii="宋体"/>
    </w:rPr>
  </w:style>
  <w:style w:type="paragraph" w:styleId="afff9">
    <w:name w:val="Title"/>
    <w:basedOn w:val="affc"/>
    <w:link w:val="Char4"/>
    <w:qFormat/>
    <w:pPr>
      <w:spacing w:before="240" w:after="60"/>
      <w:jc w:val="center"/>
      <w:outlineLvl w:val="0"/>
    </w:pPr>
    <w:rPr>
      <w:rFonts w:ascii="Arial" w:hAnsi="Arial" w:cs="Arial"/>
      <w:b/>
      <w:bCs/>
      <w:sz w:val="32"/>
      <w:szCs w:val="32"/>
    </w:rPr>
  </w:style>
  <w:style w:type="table" w:styleId="afffa">
    <w:name w:val="Table Grid"/>
    <w:basedOn w:val="affe"/>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b">
    <w:name w:val="Strong"/>
    <w:uiPriority w:val="22"/>
    <w:qFormat/>
    <w:rPr>
      <w:b/>
      <w:bCs/>
    </w:rPr>
  </w:style>
  <w:style w:type="character" w:styleId="afffc">
    <w:name w:val="page number"/>
    <w:rPr>
      <w:rFonts w:ascii="宋体" w:eastAsia="宋体" w:hAnsi="Times New Roman"/>
      <w:sz w:val="18"/>
    </w:rPr>
  </w:style>
  <w:style w:type="character" w:styleId="afffd">
    <w:name w:val="Emphasis"/>
    <w:uiPriority w:val="20"/>
    <w:qFormat/>
    <w:rPr>
      <w:i/>
      <w:iCs/>
    </w:rPr>
  </w:style>
  <w:style w:type="character" w:styleId="afffe">
    <w:name w:val="Hyperlink"/>
    <w:uiPriority w:val="99"/>
    <w:rPr>
      <w:rFonts w:ascii="宋体" w:eastAsia="宋体" w:hAnsi="Times New Roman"/>
      <w:color w:val="auto"/>
      <w:spacing w:val="0"/>
      <w:w w:val="100"/>
      <w:position w:val="0"/>
      <w:sz w:val="21"/>
      <w:u w:val="none"/>
      <w:vertAlign w:val="baseline"/>
    </w:rPr>
  </w:style>
  <w:style w:type="character" w:styleId="affff">
    <w:name w:val="footnote reference"/>
    <w:semiHidden/>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6"/>
    <w:uiPriority w:val="99"/>
    <w:rPr>
      <w:rFonts w:ascii="Times New Roman" w:eastAsia="宋体" w:hAnsi="Times New Roman" w:cs="Times New Roman"/>
      <w:sz w:val="18"/>
      <w:szCs w:val="18"/>
    </w:rPr>
  </w:style>
  <w:style w:type="character" w:customStyle="1" w:styleId="Char1">
    <w:name w:val="页脚 Char"/>
    <w:link w:val="afff5"/>
    <w:uiPriority w:val="99"/>
    <w:rPr>
      <w:rFonts w:ascii="宋体" w:eastAsia="宋体" w:hAnsi="Times New Roman" w:cs="Times New Roman"/>
      <w:sz w:val="18"/>
      <w:szCs w:val="18"/>
    </w:rPr>
  </w:style>
  <w:style w:type="character" w:customStyle="1" w:styleId="Char0">
    <w:name w:val="批注框文本 Char"/>
    <w:link w:val="afff4"/>
    <w:uiPriority w:val="99"/>
    <w:semiHidden/>
    <w:rPr>
      <w:sz w:val="18"/>
      <w:szCs w:val="18"/>
    </w:rPr>
  </w:style>
  <w:style w:type="paragraph" w:styleId="affff0">
    <w:name w:val="Quote"/>
    <w:basedOn w:val="affc"/>
    <w:next w:val="affc"/>
    <w:link w:val="Char5"/>
    <w:uiPriority w:val="29"/>
    <w:qFormat/>
    <w:rPr>
      <w:i/>
      <w:iCs/>
      <w:color w:val="000000"/>
    </w:rPr>
  </w:style>
  <w:style w:type="character" w:customStyle="1" w:styleId="Char5">
    <w:name w:val="引用 Char"/>
    <w:link w:val="affff0"/>
    <w:uiPriority w:val="29"/>
    <w:rPr>
      <w:i/>
      <w:iCs/>
      <w:color w:val="000000"/>
    </w:rPr>
  </w:style>
  <w:style w:type="character" w:customStyle="1" w:styleId="Char4">
    <w:name w:val="标题 Char"/>
    <w:link w:val="afff9"/>
    <w:rPr>
      <w:rFonts w:ascii="Arial" w:eastAsia="宋体" w:hAnsi="Arial" w:cs="Arial"/>
      <w:b/>
      <w:bCs/>
      <w:sz w:val="32"/>
      <w:szCs w:val="32"/>
    </w:rPr>
  </w:style>
  <w:style w:type="paragraph" w:customStyle="1" w:styleId="affff1">
    <w:name w:val="标准标志"/>
    <w:next w:val="aff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pPr>
      <w:ind w:left="198"/>
    </w:pPr>
    <w:rPr>
      <w:rFonts w:ascii="宋体" w:hAnsi="Times New Roman"/>
      <w:sz w:val="18"/>
    </w:rPr>
  </w:style>
  <w:style w:type="paragraph" w:customStyle="1" w:styleId="affff4">
    <w:name w:val="标准文件_页脚奇数页"/>
    <w:pPr>
      <w:ind w:right="227"/>
      <w:jc w:val="right"/>
    </w:pPr>
    <w:rPr>
      <w:rFonts w:ascii="宋体" w:hAnsi="Times New Roman"/>
      <w:sz w:val="18"/>
    </w:rPr>
  </w:style>
  <w:style w:type="paragraph" w:customStyle="1" w:styleId="affff5">
    <w:name w:val="标准书眉一"/>
    <w:pPr>
      <w:jc w:val="both"/>
    </w:pPr>
    <w:rPr>
      <w:rFonts w:ascii="Times New Roman" w:hAnsi="Times New Roman"/>
    </w:rPr>
  </w:style>
  <w:style w:type="paragraph" w:customStyle="1" w:styleId="ICS">
    <w:name w:val="标准文件_ICS"/>
    <w:basedOn w:val="affc"/>
    <w:pPr>
      <w:spacing w:line="0" w:lineRule="atLeast"/>
    </w:pPr>
    <w:rPr>
      <w:rFonts w:ascii="黑体" w:eastAsia="黑体" w:hAnsi="宋体"/>
    </w:rPr>
  </w:style>
  <w:style w:type="paragraph" w:customStyle="1" w:styleId="affff6">
    <w:name w:val="标准文件_标准正文"/>
    <w:basedOn w:val="affc"/>
    <w:next w:val="affff7"/>
    <w:pPr>
      <w:snapToGrid w:val="0"/>
      <w:ind w:firstLineChars="200" w:firstLine="200"/>
    </w:pPr>
    <w:rPr>
      <w:kern w:val="0"/>
    </w:rPr>
  </w:style>
  <w:style w:type="paragraph" w:customStyle="1" w:styleId="affff7">
    <w:name w:val="标准文件_段"/>
    <w:link w:val="Char6"/>
    <w:pPr>
      <w:autoSpaceDE w:val="0"/>
      <w:autoSpaceDN w:val="0"/>
      <w:ind w:firstLineChars="200" w:firstLine="200"/>
      <w:jc w:val="both"/>
    </w:pPr>
    <w:rPr>
      <w:rFonts w:ascii="宋体" w:hAnsi="Times New Roman"/>
      <w:sz w:val="21"/>
    </w:rPr>
  </w:style>
  <w:style w:type="paragraph" w:customStyle="1" w:styleId="affff8">
    <w:name w:val="标准文件_版本"/>
    <w:basedOn w:val="affff6"/>
    <w:pPr>
      <w:adjustRightInd/>
      <w:snapToGrid/>
      <w:ind w:firstLineChars="0" w:firstLine="0"/>
    </w:pPr>
    <w:rPr>
      <w:rFonts w:ascii="宋体" w:hAnsi="宋体"/>
      <w:kern w:val="2"/>
    </w:rPr>
  </w:style>
  <w:style w:type="paragraph" w:customStyle="1" w:styleId="affff9">
    <w:name w:val="标准文件_标准部门"/>
    <w:basedOn w:val="affc"/>
    <w:pPr>
      <w:jc w:val="center"/>
    </w:pPr>
    <w:rPr>
      <w:rFonts w:ascii="黑体" w:eastAsia="黑体"/>
      <w:kern w:val="0"/>
      <w:sz w:val="44"/>
    </w:rPr>
  </w:style>
  <w:style w:type="paragraph" w:customStyle="1" w:styleId="affffa">
    <w:name w:val="标准文件_标准代替"/>
    <w:basedOn w:val="affc"/>
    <w:next w:val="affc"/>
    <w:pPr>
      <w:spacing w:line="310" w:lineRule="exact"/>
      <w:jc w:val="right"/>
    </w:pPr>
    <w:rPr>
      <w:rFonts w:ascii="宋体" w:hAnsi="宋体"/>
      <w:kern w:val="0"/>
    </w:rPr>
  </w:style>
  <w:style w:type="paragraph" w:customStyle="1" w:styleId="affffb">
    <w:name w:val="标准文件_标准名称标题"/>
    <w:basedOn w:val="affc"/>
    <w:next w:val="affc"/>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c"/>
    <w:pPr>
      <w:tabs>
        <w:tab w:val="center" w:pos="4154"/>
        <w:tab w:val="right" w:pos="8306"/>
      </w:tabs>
      <w:spacing w:after="120"/>
      <w:jc w:val="right"/>
    </w:pPr>
    <w:rPr>
      <w:rFonts w:ascii="黑体" w:eastAsia="黑体" w:hAnsi="宋体"/>
      <w:sz w:val="21"/>
    </w:rPr>
  </w:style>
  <w:style w:type="paragraph" w:customStyle="1" w:styleId="affffd">
    <w:name w:val="标准文件_页眉偶数页"/>
    <w:basedOn w:val="affffc"/>
    <w:next w:val="affc"/>
    <w:pPr>
      <w:jc w:val="left"/>
    </w:pPr>
  </w:style>
  <w:style w:type="paragraph" w:customStyle="1" w:styleId="affffe">
    <w:name w:val="标准文件_参考文献标题"/>
    <w:basedOn w:val="affc"/>
    <w:next w:val="affc"/>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ff">
    <w:name w:val="标准文件_二级条标题"/>
    <w:next w:val="affff7"/>
    <w:pPr>
      <w:widowControl w:val="0"/>
      <w:spacing w:beforeLines="50" w:before="50" w:afterLines="50" w:after="50"/>
      <w:jc w:val="both"/>
      <w:outlineLvl w:val="2"/>
    </w:pPr>
    <w:rPr>
      <w:rFonts w:ascii="黑体" w:eastAsia="黑体" w:hAnsi="Times New Roman"/>
      <w:sz w:val="21"/>
    </w:rPr>
  </w:style>
  <w:style w:type="character" w:customStyle="1" w:styleId="afffff0">
    <w:name w:val="标准文件_发布"/>
    <w:rPr>
      <w:rFonts w:ascii="黑体" w:eastAsia="黑体"/>
      <w:spacing w:val="0"/>
      <w:w w:val="100"/>
      <w:position w:val="3"/>
      <w:sz w:val="28"/>
    </w:rPr>
  </w:style>
  <w:style w:type="paragraph" w:customStyle="1" w:styleId="ad">
    <w:name w:val="标准文件_方框数字列项"/>
    <w:basedOn w:val="affff7"/>
    <w:pPr>
      <w:numPr>
        <w:numId w:val="2"/>
      </w:numPr>
      <w:ind w:firstLineChars="0" w:firstLine="0"/>
    </w:pPr>
  </w:style>
  <w:style w:type="paragraph" w:customStyle="1" w:styleId="afffff1">
    <w:name w:val="标准文件_封面标准编号"/>
    <w:basedOn w:val="affc"/>
    <w:next w:val="affffa"/>
    <w:pPr>
      <w:spacing w:line="310" w:lineRule="exact"/>
      <w:jc w:val="right"/>
    </w:pPr>
    <w:rPr>
      <w:rFonts w:ascii="黑体" w:eastAsia="黑体"/>
      <w:kern w:val="0"/>
      <w:sz w:val="28"/>
    </w:rPr>
  </w:style>
  <w:style w:type="paragraph" w:customStyle="1" w:styleId="afffff2">
    <w:name w:val="标准文件_封面标准分类号"/>
    <w:basedOn w:val="affc"/>
    <w:rPr>
      <w:rFonts w:ascii="黑体" w:eastAsia="黑体"/>
      <w:b/>
      <w:kern w:val="0"/>
      <w:sz w:val="28"/>
    </w:rPr>
  </w:style>
  <w:style w:type="paragraph" w:customStyle="1" w:styleId="afffff3">
    <w:name w:val="标准文件_封面标准名称"/>
    <w:basedOn w:val="affc"/>
    <w:pPr>
      <w:spacing w:line="240" w:lineRule="auto"/>
      <w:jc w:val="center"/>
    </w:pPr>
    <w:rPr>
      <w:rFonts w:ascii="黑体" w:eastAsia="黑体"/>
      <w:kern w:val="0"/>
      <w:sz w:val="52"/>
    </w:rPr>
  </w:style>
  <w:style w:type="paragraph" w:customStyle="1" w:styleId="afffff4">
    <w:name w:val="标准文件_封面标准英文名称"/>
    <w:basedOn w:val="affc"/>
    <w:pPr>
      <w:spacing w:line="240" w:lineRule="auto"/>
      <w:jc w:val="center"/>
    </w:pPr>
    <w:rPr>
      <w:rFonts w:ascii="黑体" w:eastAsia="黑体"/>
      <w:b/>
      <w:sz w:val="28"/>
    </w:rPr>
  </w:style>
  <w:style w:type="paragraph" w:customStyle="1" w:styleId="afffff5">
    <w:name w:val="标准文件_封面发布日期"/>
    <w:basedOn w:val="affc"/>
    <w:pPr>
      <w:spacing w:line="310" w:lineRule="exact"/>
    </w:pPr>
    <w:rPr>
      <w:rFonts w:ascii="黑体" w:eastAsia="黑体"/>
      <w:kern w:val="0"/>
      <w:sz w:val="28"/>
    </w:rPr>
  </w:style>
  <w:style w:type="paragraph" w:customStyle="1" w:styleId="afffff6">
    <w:name w:val="标准文件_封面密级"/>
    <w:basedOn w:val="affc"/>
    <w:rPr>
      <w:rFonts w:eastAsia="黑体"/>
      <w:sz w:val="32"/>
    </w:rPr>
  </w:style>
  <w:style w:type="paragraph" w:customStyle="1" w:styleId="afffff7">
    <w:name w:val="标准文件_封面实施日期"/>
    <w:basedOn w:val="affc"/>
    <w:pPr>
      <w:spacing w:line="310" w:lineRule="exact"/>
      <w:jc w:val="right"/>
    </w:pPr>
    <w:rPr>
      <w:rFonts w:ascii="黑体" w:eastAsia="黑体"/>
      <w:sz w:val="28"/>
    </w:rPr>
  </w:style>
  <w:style w:type="paragraph" w:customStyle="1" w:styleId="afffff8">
    <w:name w:val="标准文件_封面抬头"/>
    <w:basedOn w:val="affff7"/>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7"/>
    <w:pPr>
      <w:numPr>
        <w:numId w:val="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d">
    <w:name w:val="标准文件_附录表标题"/>
    <w:next w:val="affff7"/>
    <w:pPr>
      <w:numPr>
        <w:ilvl w:val="1"/>
        <w:numId w:val="4"/>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2">
    <w:name w:val="标准文件_附录一级条标题"/>
    <w:next w:val="affff7"/>
    <w:pPr>
      <w:widowControl w:val="0"/>
      <w:numPr>
        <w:ilvl w:val="1"/>
        <w:numId w:val="3"/>
      </w:numPr>
      <w:spacing w:beforeLines="50" w:before="50" w:afterLines="50" w:after="50"/>
      <w:jc w:val="both"/>
      <w:outlineLvl w:val="2"/>
    </w:pPr>
    <w:rPr>
      <w:rFonts w:ascii="黑体" w:eastAsia="黑体" w:hAnsi="Times New Roman"/>
      <w:kern w:val="21"/>
      <w:sz w:val="21"/>
    </w:rPr>
  </w:style>
  <w:style w:type="paragraph" w:customStyle="1" w:styleId="aff3">
    <w:name w:val="标准文件_附录二级条标题"/>
    <w:basedOn w:val="aff2"/>
    <w:next w:val="affff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6"/>
    <w:next w:val="affff6"/>
    <w:pPr>
      <w:tabs>
        <w:tab w:val="center" w:pos="4678"/>
        <w:tab w:val="right" w:leader="middleDot" w:pos="9356"/>
      </w:tabs>
      <w:spacing w:line="240" w:lineRule="auto"/>
      <w:ind w:right="-51" w:firstLineChars="0" w:firstLine="0"/>
    </w:pPr>
    <w:rPr>
      <w:rFonts w:ascii="宋体" w:hAnsi="宋体"/>
    </w:rPr>
  </w:style>
  <w:style w:type="paragraph" w:customStyle="1" w:styleId="aff4">
    <w:name w:val="标准文件_附录三级条标题"/>
    <w:next w:val="affff7"/>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ff5">
    <w:name w:val="标准文件_附录四级条标题"/>
    <w:next w:val="affff7"/>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f7">
    <w:name w:val="标准文件_附录图标题"/>
    <w:next w:val="affff7"/>
    <w:pPr>
      <w:numPr>
        <w:ilvl w:val="1"/>
        <w:numId w:val="5"/>
      </w:numPr>
      <w:adjustRightInd w:val="0"/>
      <w:snapToGrid w:val="0"/>
      <w:spacing w:beforeLines="50" w:before="50" w:afterLines="50" w:after="50"/>
      <w:ind w:firstLine="420"/>
      <w:jc w:val="center"/>
    </w:pPr>
    <w:rPr>
      <w:rFonts w:ascii="黑体" w:eastAsia="黑体" w:hAnsi="Times New Roman"/>
      <w:sz w:val="21"/>
    </w:rPr>
  </w:style>
  <w:style w:type="paragraph" w:customStyle="1" w:styleId="aff6">
    <w:name w:val="标准文件_附录五级条标题"/>
    <w:next w:val="affff7"/>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3"/>
    <w:pPr>
      <w:numPr>
        <w:numId w:val="6"/>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3"/>
    <w:rPr>
      <w:rFonts w:ascii="Times New Roman" w:eastAsia="宋体" w:hAnsi="Times New Roman" w:cs="Times New Roman"/>
      <w:szCs w:val="20"/>
    </w:rPr>
  </w:style>
  <w:style w:type="paragraph" w:customStyle="1" w:styleId="afffffa">
    <w:name w:val="标准文件_附录章标题"/>
    <w:next w:val="affff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pPr>
      <w:ind w:leftChars="200" w:left="488" w:hangingChars="290" w:hanging="289"/>
    </w:pPr>
  </w:style>
  <w:style w:type="paragraph" w:customStyle="1" w:styleId="a6">
    <w:name w:val="标准文件_前言、引言标题"/>
    <w:next w:val="affc"/>
    <w:pPr>
      <w:numPr>
        <w:numId w:val="7"/>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c">
    <w:name w:val="标准文件_目次、标准名称标题"/>
    <w:basedOn w:val="a6"/>
    <w:next w:val="affff7"/>
    <w:pPr>
      <w:spacing w:line="460" w:lineRule="exact"/>
    </w:pPr>
  </w:style>
  <w:style w:type="paragraph" w:customStyle="1" w:styleId="afffffd">
    <w:name w:val="标准文件_目录标题"/>
    <w:basedOn w:val="affc"/>
    <w:pPr>
      <w:spacing w:afterLines="150" w:after="150" w:line="240" w:lineRule="auto"/>
      <w:jc w:val="center"/>
    </w:pPr>
    <w:rPr>
      <w:rFonts w:ascii="黑体" w:eastAsia="黑体"/>
      <w:sz w:val="32"/>
    </w:rPr>
  </w:style>
  <w:style w:type="paragraph" w:customStyle="1" w:styleId="af1">
    <w:name w:val="标准文件_破折号列项"/>
    <w:pPr>
      <w:numPr>
        <w:numId w:val="8"/>
      </w:numPr>
      <w:adjustRightInd w:val="0"/>
      <w:snapToGrid w:val="0"/>
      <w:ind w:left="0" w:firstLineChars="200" w:firstLine="200"/>
    </w:pPr>
    <w:rPr>
      <w:rFonts w:ascii="Times New Roman" w:hAnsi="Times New Roman"/>
      <w:sz w:val="21"/>
    </w:rPr>
  </w:style>
  <w:style w:type="paragraph" w:customStyle="1" w:styleId="afa">
    <w:name w:val="标准文件_破折号列项（二级）"/>
    <w:basedOn w:val="af1"/>
    <w:pPr>
      <w:numPr>
        <w:numId w:val="9"/>
      </w:numPr>
      <w:ind w:left="0" w:firstLine="200"/>
    </w:pPr>
  </w:style>
  <w:style w:type="paragraph" w:customStyle="1" w:styleId="afffffe">
    <w:name w:val="标准文件_三级条标题"/>
    <w:basedOn w:val="afffff"/>
    <w:next w:val="affff7"/>
    <w:pPr>
      <w:widowControl/>
      <w:outlineLvl w:val="3"/>
    </w:pPr>
  </w:style>
  <w:style w:type="character" w:customStyle="1" w:styleId="11">
    <w:name w:val="不明显参考1"/>
    <w:uiPriority w:val="31"/>
    <w:qFormat/>
    <w:rPr>
      <w:smallCaps/>
      <w:color w:val="C0504D"/>
      <w:u w:val="single"/>
    </w:rPr>
  </w:style>
  <w:style w:type="paragraph" w:customStyle="1" w:styleId="affffff">
    <w:name w:val="标准文件_示例后续"/>
    <w:basedOn w:val="affc"/>
    <w:pPr>
      <w:adjustRightInd/>
      <w:spacing w:line="240" w:lineRule="auto"/>
      <w:ind w:firstLineChars="200" w:firstLine="200"/>
    </w:pPr>
    <w:rPr>
      <w:sz w:val="18"/>
      <w:szCs w:val="24"/>
    </w:rPr>
  </w:style>
  <w:style w:type="paragraph" w:customStyle="1" w:styleId="aff7">
    <w:name w:val="标准文件_数字编号列项"/>
    <w:pPr>
      <w:numPr>
        <w:numId w:val="10"/>
      </w:numPr>
      <w:jc w:val="both"/>
    </w:pPr>
    <w:rPr>
      <w:rFonts w:ascii="宋体" w:hAnsi="宋体"/>
      <w:sz w:val="21"/>
    </w:rPr>
  </w:style>
  <w:style w:type="paragraph" w:customStyle="1" w:styleId="affffff0">
    <w:name w:val="标准文件_四级条标题"/>
    <w:next w:val="affff7"/>
    <w:pPr>
      <w:widowControl w:val="0"/>
      <w:spacing w:beforeLines="50" w:before="50" w:afterLines="50" w:after="50"/>
      <w:jc w:val="both"/>
      <w:outlineLvl w:val="4"/>
    </w:pPr>
    <w:rPr>
      <w:rFonts w:ascii="黑体" w:eastAsia="黑体" w:hAnsi="Times New Roman"/>
      <w:sz w:val="21"/>
    </w:rPr>
  </w:style>
  <w:style w:type="character" w:customStyle="1" w:styleId="Char3">
    <w:name w:val="脚注文本 Char"/>
    <w:link w:val="afff7"/>
    <w:semiHidden/>
    <w:rPr>
      <w:rFonts w:ascii="宋体" w:eastAsia="宋体" w:hAnsi="Times New Roman" w:cs="Times New Roman"/>
      <w:sz w:val="18"/>
      <w:szCs w:val="18"/>
    </w:rPr>
  </w:style>
  <w:style w:type="paragraph" w:customStyle="1" w:styleId="affffff1">
    <w:name w:val="标准文件_条文脚注"/>
    <w:basedOn w:val="afff7"/>
    <w:pPr>
      <w:adjustRightInd w:val="0"/>
      <w:spacing w:line="240" w:lineRule="auto"/>
      <w:ind w:leftChars="0" w:left="0" w:firstLineChars="200" w:firstLine="200"/>
      <w:jc w:val="both"/>
    </w:pPr>
    <w:rPr>
      <w:rFonts w:hAnsi="宋体"/>
    </w:rPr>
  </w:style>
  <w:style w:type="paragraph" w:customStyle="1" w:styleId="af5">
    <w:name w:val="标准文件_图表脚注"/>
    <w:basedOn w:val="affc"/>
    <w:next w:val="affff7"/>
    <w:pPr>
      <w:numPr>
        <w:numId w:val="11"/>
      </w:numPr>
      <w:spacing w:line="240" w:lineRule="auto"/>
      <w:jc w:val="left"/>
    </w:pPr>
    <w:rPr>
      <w:rFonts w:ascii="宋体" w:hAnsi="宋体"/>
      <w:sz w:val="18"/>
    </w:rPr>
  </w:style>
  <w:style w:type="character" w:customStyle="1" w:styleId="affffff2">
    <w:name w:val="标准文件_图表脚注内容"/>
    <w:rPr>
      <w:rFonts w:ascii="宋体" w:eastAsia="宋体" w:hAnsi="宋体" w:cs="Times New Roman"/>
      <w:spacing w:val="0"/>
      <w:sz w:val="18"/>
      <w:vertAlign w:val="superscript"/>
    </w:rPr>
  </w:style>
  <w:style w:type="paragraph" w:customStyle="1" w:styleId="affffff3">
    <w:name w:val="标准文件_五级条标题"/>
    <w:next w:val="affff7"/>
    <w:pPr>
      <w:widowControl w:val="0"/>
      <w:spacing w:beforeLines="50" w:before="50" w:afterLines="50" w:after="50"/>
      <w:jc w:val="both"/>
      <w:outlineLvl w:val="5"/>
    </w:pPr>
    <w:rPr>
      <w:rFonts w:ascii="黑体" w:eastAsia="黑体" w:hAnsi="Times New Roman"/>
      <w:sz w:val="21"/>
    </w:rPr>
  </w:style>
  <w:style w:type="paragraph" w:customStyle="1" w:styleId="affffff4">
    <w:name w:val="标准文件_章标题"/>
    <w:next w:val="affff7"/>
    <w:pPr>
      <w:spacing w:beforeLines="100" w:before="100" w:afterLines="100" w:after="100"/>
      <w:jc w:val="both"/>
      <w:outlineLvl w:val="0"/>
    </w:pPr>
    <w:rPr>
      <w:rFonts w:ascii="黑体" w:eastAsia="黑体" w:hAnsi="Times New Roman"/>
      <w:sz w:val="21"/>
    </w:rPr>
  </w:style>
  <w:style w:type="paragraph" w:customStyle="1" w:styleId="affffff5">
    <w:name w:val="标准文件_一级条标题"/>
    <w:basedOn w:val="affffff4"/>
    <w:next w:val="affff7"/>
    <w:pPr>
      <w:spacing w:beforeLines="50" w:before="50" w:afterLines="50" w:after="50"/>
      <w:outlineLvl w:val="1"/>
    </w:pPr>
  </w:style>
  <w:style w:type="paragraph" w:customStyle="1" w:styleId="affffff6">
    <w:name w:val="标准文件_一致程度"/>
    <w:basedOn w:val="affc"/>
    <w:pPr>
      <w:spacing w:line="440" w:lineRule="exact"/>
      <w:jc w:val="center"/>
    </w:pPr>
    <w:rPr>
      <w:sz w:val="28"/>
    </w:rPr>
  </w:style>
  <w:style w:type="paragraph" w:customStyle="1" w:styleId="affffff7">
    <w:name w:val="标准文件_引言标题"/>
    <w:next w:val="affc"/>
    <w:pPr>
      <w:shd w:val="clear" w:color="FFFFFF" w:fill="FFFFFF"/>
      <w:spacing w:before="540" w:after="600"/>
      <w:jc w:val="center"/>
      <w:outlineLvl w:val="0"/>
    </w:pPr>
    <w:rPr>
      <w:rFonts w:ascii="黑体" w:eastAsia="黑体" w:hAnsi="Times New Roman"/>
      <w:sz w:val="32"/>
    </w:rPr>
  </w:style>
  <w:style w:type="paragraph" w:customStyle="1" w:styleId="affffff8">
    <w:name w:val="标准文件_英文图表脚注"/>
    <w:basedOn w:val="affff6"/>
    <w:pPr>
      <w:widowControl/>
      <w:adjustRightInd/>
      <w:snapToGrid/>
      <w:spacing w:line="240" w:lineRule="auto"/>
      <w:ind w:left="79" w:hangingChars="80" w:hanging="79"/>
    </w:pPr>
    <w:rPr>
      <w:rFonts w:ascii="宋体" w:hAnsi="宋体"/>
    </w:rPr>
  </w:style>
  <w:style w:type="paragraph" w:customStyle="1" w:styleId="affffff9">
    <w:name w:val="标准文件_数字编号列项（二级）"/>
    <w:pPr>
      <w:jc w:val="both"/>
    </w:pPr>
    <w:rPr>
      <w:rFonts w:ascii="宋体" w:hAnsi="Times New Roman"/>
      <w:sz w:val="21"/>
    </w:rPr>
  </w:style>
  <w:style w:type="paragraph" w:customStyle="1" w:styleId="af">
    <w:name w:val="标准文件_英文注："/>
    <w:basedOn w:val="affc"/>
    <w:next w:val="affff7"/>
    <w:pPr>
      <w:numPr>
        <w:numId w:val="12"/>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c"/>
    <w:pPr>
      <w:numPr>
        <w:numId w:val="13"/>
      </w:numPr>
      <w:tabs>
        <w:tab w:val="left" w:pos="210"/>
      </w:tabs>
      <w:autoSpaceDE w:val="0"/>
      <w:autoSpaceDN w:val="0"/>
      <w:spacing w:line="240" w:lineRule="auto"/>
    </w:pPr>
    <w:rPr>
      <w:rFonts w:ascii="宋体" w:hAnsi="宋体"/>
      <w:kern w:val="0"/>
      <w:szCs w:val="20"/>
    </w:rPr>
  </w:style>
  <w:style w:type="paragraph" w:customStyle="1" w:styleId="aff0">
    <w:name w:val="标准文件_正文表标题"/>
    <w:next w:val="affff7"/>
    <w:pPr>
      <w:numPr>
        <w:numId w:val="14"/>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c"/>
    <w:next w:val="affff6"/>
    <w:pPr>
      <w:tabs>
        <w:tab w:val="center" w:pos="4678"/>
        <w:tab w:val="right" w:leader="middleDot" w:pos="9356"/>
      </w:tabs>
      <w:spacing w:line="240" w:lineRule="auto"/>
    </w:pPr>
    <w:rPr>
      <w:rFonts w:ascii="宋体" w:hAnsi="宋体"/>
    </w:rPr>
  </w:style>
  <w:style w:type="paragraph" w:customStyle="1" w:styleId="afb">
    <w:name w:val="标准文件_正文图标题"/>
    <w:next w:val="affff7"/>
    <w:pPr>
      <w:numPr>
        <w:numId w:val="15"/>
      </w:numPr>
      <w:spacing w:beforeLines="50" w:before="50" w:afterLines="50" w:after="50"/>
      <w:jc w:val="center"/>
    </w:pPr>
    <w:rPr>
      <w:rFonts w:ascii="黑体" w:eastAsia="黑体" w:hAnsi="Times New Roman"/>
      <w:sz w:val="21"/>
    </w:rPr>
  </w:style>
  <w:style w:type="paragraph" w:customStyle="1" w:styleId="affa">
    <w:name w:val="标准文件_正文英文表标题"/>
    <w:next w:val="affff7"/>
    <w:pPr>
      <w:numPr>
        <w:numId w:val="16"/>
      </w:numPr>
      <w:jc w:val="center"/>
    </w:pPr>
    <w:rPr>
      <w:rFonts w:ascii="黑体" w:eastAsia="黑体" w:hAnsi="Times New Roman"/>
      <w:sz w:val="21"/>
    </w:rPr>
  </w:style>
  <w:style w:type="paragraph" w:customStyle="1" w:styleId="af9">
    <w:name w:val="标准文件_正文英文图标题"/>
    <w:next w:val="affff7"/>
    <w:pPr>
      <w:numPr>
        <w:numId w:val="17"/>
      </w:numPr>
      <w:jc w:val="center"/>
    </w:pPr>
    <w:rPr>
      <w:rFonts w:ascii="黑体" w:eastAsia="黑体" w:hAnsi="Times New Roman"/>
      <w:sz w:val="21"/>
    </w:rPr>
  </w:style>
  <w:style w:type="paragraph" w:customStyle="1" w:styleId="affffffb">
    <w:name w:val="标准文件_编号列项（三级）"/>
    <w:rPr>
      <w:rFonts w:ascii="宋体" w:hAnsi="Times New Roman"/>
      <w:sz w:val="21"/>
    </w:rPr>
  </w:style>
  <w:style w:type="paragraph" w:customStyle="1" w:styleId="a1">
    <w:name w:val="二级无标题条"/>
    <w:basedOn w:val="affc"/>
    <w:pPr>
      <w:numPr>
        <w:ilvl w:val="3"/>
        <w:numId w:val="18"/>
      </w:numPr>
      <w:adjustRightInd/>
      <w:spacing w:line="240" w:lineRule="auto"/>
    </w:pPr>
    <w:rPr>
      <w:rFonts w:ascii="宋体" w:hAnsi="宋体"/>
      <w:szCs w:val="24"/>
    </w:rPr>
  </w:style>
  <w:style w:type="paragraph" w:customStyle="1" w:styleId="affffffc">
    <w:name w:val="发布部门"/>
    <w:next w:val="affff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pPr>
      <w:spacing w:before="180" w:line="180" w:lineRule="exact"/>
      <w:jc w:val="center"/>
    </w:pPr>
    <w:rPr>
      <w:rFonts w:ascii="宋体" w:hAnsi="Times New Roman"/>
      <w:sz w:val="21"/>
    </w:rPr>
  </w:style>
  <w:style w:type="paragraph" w:customStyle="1" w:styleId="afffffff1">
    <w:name w:val="封面标准文稿类别"/>
    <w:pPr>
      <w:spacing w:before="440" w:line="400" w:lineRule="exact"/>
      <w:jc w:val="center"/>
    </w:pPr>
    <w:rPr>
      <w:rFonts w:ascii="宋体" w:hAnsi="Times New Roman"/>
      <w:sz w:val="24"/>
    </w:rPr>
  </w:style>
  <w:style w:type="paragraph" w:customStyle="1" w:styleId="afffffff2">
    <w:name w:val="封面标准英文名称"/>
    <w:pPr>
      <w:widowControl w:val="0"/>
      <w:spacing w:line="360" w:lineRule="exact"/>
      <w:jc w:val="center"/>
    </w:pPr>
    <w:rPr>
      <w:rFonts w:ascii="Times New Roman" w:hAnsi="Times New Roman"/>
      <w:sz w:val="28"/>
    </w:rPr>
  </w:style>
  <w:style w:type="paragraph" w:customStyle="1" w:styleId="afffffff3">
    <w:name w:val="封面一致性程度标识"/>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c"/>
    <w:next w:val="a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7"/>
    <w:pPr>
      <w:outlineLvl w:val="4"/>
    </w:pPr>
  </w:style>
  <w:style w:type="paragraph" w:customStyle="1" w:styleId="afffffff7">
    <w:name w:val="附录四级无标题条"/>
    <w:basedOn w:val="afffffff6"/>
    <w:next w:val="affff7"/>
    <w:pPr>
      <w:outlineLvl w:val="5"/>
    </w:pPr>
  </w:style>
  <w:style w:type="paragraph" w:customStyle="1" w:styleId="afffffff8">
    <w:name w:val="附录图"/>
    <w:next w:val="affff7"/>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pPr>
      <w:numPr>
        <w:numId w:val="19"/>
      </w:numPr>
    </w:pPr>
    <w:rPr>
      <w:rFonts w:ascii="宋体" w:hAnsi="Times New Roman"/>
      <w:sz w:val="21"/>
    </w:rPr>
  </w:style>
  <w:style w:type="paragraph" w:customStyle="1" w:styleId="afffffff9">
    <w:name w:val="附录五级无标题条"/>
    <w:basedOn w:val="afffffff7"/>
    <w:next w:val="affff7"/>
    <w:pPr>
      <w:outlineLvl w:val="6"/>
    </w:pPr>
  </w:style>
  <w:style w:type="paragraph" w:customStyle="1" w:styleId="afffffffa">
    <w:name w:val="附录性质"/>
    <w:basedOn w:val="affc"/>
    <w:pPr>
      <w:widowControl/>
      <w:adjustRightInd/>
      <w:jc w:val="center"/>
    </w:pPr>
    <w:rPr>
      <w:rFonts w:ascii="黑体" w:eastAsia="黑体"/>
    </w:rPr>
  </w:style>
  <w:style w:type="paragraph" w:customStyle="1" w:styleId="afffffffb">
    <w:name w:val="附录一级无标题条"/>
    <w:basedOn w:val="afffffa"/>
    <w:next w:val="affff7"/>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rPr>
      <w:rFonts w:ascii="Arial" w:eastAsia="宋体" w:hAnsi="Arial" w:cs="Arial"/>
      <w:color w:val="auto"/>
      <w:spacing w:val="0"/>
      <w:sz w:val="20"/>
    </w:rPr>
  </w:style>
  <w:style w:type="paragraph" w:customStyle="1" w:styleId="afffffffe">
    <w:name w:val="脚注后续"/>
    <w:pPr>
      <w:ind w:leftChars="350" w:left="350"/>
      <w:jc w:val="both"/>
    </w:pPr>
    <w:rPr>
      <w:rFonts w:ascii="宋体" w:hAnsi="Times New Roman"/>
      <w:sz w:val="18"/>
    </w:rPr>
  </w:style>
  <w:style w:type="paragraph" w:customStyle="1" w:styleId="affb">
    <w:name w:val="列项——"/>
    <w:pPr>
      <w:widowControl w:val="0"/>
      <w:numPr>
        <w:numId w:val="20"/>
      </w:numPr>
      <w:jc w:val="both"/>
    </w:pPr>
    <w:rPr>
      <w:rFonts w:ascii="宋体" w:hAnsi="宋体"/>
      <w:sz w:val="21"/>
    </w:rPr>
  </w:style>
  <w:style w:type="paragraph" w:customStyle="1" w:styleId="affffffff">
    <w:name w:val="列项·"/>
    <w:basedOn w:val="affff7"/>
    <w:pPr>
      <w:tabs>
        <w:tab w:val="left" w:pos="840"/>
      </w:tabs>
    </w:pPr>
  </w:style>
  <w:style w:type="paragraph" w:customStyle="1" w:styleId="affffffff0">
    <w:name w:val="目次、索引正文"/>
    <w:pPr>
      <w:spacing w:line="320" w:lineRule="exact"/>
      <w:jc w:val="both"/>
    </w:pPr>
    <w:rPr>
      <w:rFonts w:ascii="宋体" w:hAnsi="Times New Roman"/>
      <w:sz w:val="21"/>
    </w:rPr>
  </w:style>
  <w:style w:type="paragraph" w:customStyle="1" w:styleId="210">
    <w:name w:val="目录 21"/>
    <w:basedOn w:val="affc"/>
    <w:next w:val="affc"/>
    <w:semiHidden/>
    <w:pPr>
      <w:adjustRightInd/>
      <w:spacing w:line="240" w:lineRule="auto"/>
      <w:jc w:val="left"/>
    </w:pPr>
    <w:rPr>
      <w:bCs/>
      <w:iCs/>
    </w:rPr>
  </w:style>
  <w:style w:type="paragraph" w:customStyle="1" w:styleId="31">
    <w:name w:val="目录 31"/>
    <w:basedOn w:val="affc"/>
    <w:next w:val="affc"/>
    <w:semiHidden/>
    <w:pPr>
      <w:spacing w:line="240" w:lineRule="auto"/>
    </w:pPr>
    <w:rPr>
      <w:rFonts w:ascii="宋体" w:hAnsi="宋体"/>
      <w:iCs/>
    </w:rPr>
  </w:style>
  <w:style w:type="paragraph" w:customStyle="1" w:styleId="41">
    <w:name w:val="目录 41"/>
    <w:basedOn w:val="affc"/>
    <w:next w:val="affc"/>
    <w:semiHidden/>
    <w:pPr>
      <w:adjustRightInd/>
      <w:spacing w:line="240" w:lineRule="auto"/>
      <w:jc w:val="left"/>
    </w:pPr>
  </w:style>
  <w:style w:type="paragraph" w:customStyle="1" w:styleId="51">
    <w:name w:val="目录 51"/>
    <w:basedOn w:val="affc"/>
    <w:next w:val="affc"/>
    <w:semiHidden/>
    <w:pPr>
      <w:spacing w:line="240" w:lineRule="auto"/>
    </w:pPr>
    <w:rPr>
      <w:rFonts w:ascii="宋体" w:hAnsi="宋体"/>
    </w:rPr>
  </w:style>
  <w:style w:type="paragraph" w:customStyle="1" w:styleId="61">
    <w:name w:val="目录 61"/>
    <w:basedOn w:val="affc"/>
    <w:next w:val="affc"/>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pPr>
      <w:framePr w:wrap="around"/>
      <w:spacing w:line="0" w:lineRule="atLeast"/>
    </w:pPr>
    <w:rPr>
      <w:rFonts w:ascii="黑体" w:eastAsia="黑体"/>
      <w:b w:val="0"/>
    </w:rPr>
  </w:style>
  <w:style w:type="paragraph" w:customStyle="1" w:styleId="affffffff3">
    <w:name w:val="前言标题"/>
    <w:next w:val="affc"/>
    <w:p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c"/>
    <w:pPr>
      <w:numPr>
        <w:ilvl w:val="4"/>
        <w:numId w:val="18"/>
      </w:numPr>
      <w:adjustRightInd/>
      <w:spacing w:line="240" w:lineRule="auto"/>
    </w:pPr>
    <w:rPr>
      <w:rFonts w:ascii="宋体" w:hAnsi="宋体"/>
      <w:szCs w:val="24"/>
    </w:rPr>
  </w:style>
  <w:style w:type="paragraph" w:customStyle="1" w:styleId="affffffff4">
    <w:name w:val="实施日期"/>
    <w:basedOn w:val="affffffd"/>
    <w:pPr>
      <w:framePr w:hSpace="0" w:wrap="around" w:xAlign="right"/>
      <w:jc w:val="right"/>
    </w:pPr>
  </w:style>
  <w:style w:type="paragraph" w:customStyle="1" w:styleId="a3">
    <w:name w:val="四级无标题条"/>
    <w:basedOn w:val="affc"/>
    <w:pPr>
      <w:numPr>
        <w:ilvl w:val="5"/>
        <w:numId w:val="18"/>
      </w:numPr>
      <w:adjustRightInd/>
      <w:spacing w:line="240" w:lineRule="auto"/>
    </w:pPr>
    <w:rPr>
      <w:rFonts w:ascii="宋体" w:hAnsi="宋体"/>
      <w:szCs w:val="24"/>
    </w:rPr>
  </w:style>
  <w:style w:type="paragraph" w:customStyle="1" w:styleId="affffffff5">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7"/>
    <w:pPr>
      <w:jc w:val="both"/>
    </w:pPr>
    <w:rPr>
      <w:rFonts w:ascii="宋体" w:hAnsi="宋体"/>
      <w:sz w:val="21"/>
    </w:rPr>
  </w:style>
  <w:style w:type="paragraph" w:customStyle="1" w:styleId="a4">
    <w:name w:val="五级无标题条"/>
    <w:basedOn w:val="affc"/>
    <w:pPr>
      <w:numPr>
        <w:ilvl w:val="6"/>
        <w:numId w:val="18"/>
      </w:numPr>
      <w:adjustRightInd/>
    </w:pPr>
    <w:rPr>
      <w:szCs w:val="24"/>
    </w:rPr>
  </w:style>
  <w:style w:type="paragraph" w:customStyle="1" w:styleId="a0">
    <w:name w:val="一级无标题条"/>
    <w:basedOn w:val="affc"/>
    <w:pPr>
      <w:numPr>
        <w:ilvl w:val="2"/>
        <w:numId w:val="18"/>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pPr>
      <w:ind w:leftChars="0" w:left="1406" w:firstLineChars="0" w:hanging="499"/>
    </w:pPr>
  </w:style>
  <w:style w:type="paragraph" w:customStyle="1" w:styleId="affffffff9">
    <w:name w:val="标准文件_一级无标题"/>
    <w:basedOn w:val="affffff5"/>
    <w:qFormat/>
    <w:pPr>
      <w:spacing w:beforeLines="0" w:before="0" w:afterLines="0" w:after="0"/>
      <w:outlineLvl w:val="9"/>
    </w:pPr>
    <w:rPr>
      <w:rFonts w:ascii="宋体" w:eastAsia="宋体"/>
    </w:rPr>
  </w:style>
  <w:style w:type="paragraph" w:customStyle="1" w:styleId="affffffffa">
    <w:name w:val="标准文件_五级无标题"/>
    <w:basedOn w:val="affffff3"/>
    <w:qFormat/>
    <w:pPr>
      <w:spacing w:beforeLines="0" w:before="0" w:afterLines="0" w:after="0"/>
      <w:outlineLvl w:val="9"/>
    </w:pPr>
    <w:rPr>
      <w:rFonts w:ascii="宋体" w:eastAsia="宋体"/>
    </w:rPr>
  </w:style>
  <w:style w:type="paragraph" w:customStyle="1" w:styleId="affffffffb">
    <w:name w:val="标准文件_三级无标题"/>
    <w:basedOn w:val="afffffe"/>
    <w:qFormat/>
    <w:pPr>
      <w:spacing w:beforeLines="0" w:before="0" w:afterLines="0" w:after="0"/>
      <w:outlineLvl w:val="9"/>
    </w:pPr>
    <w:rPr>
      <w:rFonts w:ascii="宋体" w:eastAsia="宋体"/>
    </w:rPr>
  </w:style>
  <w:style w:type="paragraph" w:customStyle="1" w:styleId="affffffffc">
    <w:name w:val="标准文件_二级无标题"/>
    <w:basedOn w:val="afffff"/>
    <w:qFormat/>
    <w:pPr>
      <w:spacing w:beforeLines="0" w:before="0" w:afterLines="0" w:after="0"/>
      <w:outlineLvl w:val="9"/>
    </w:pPr>
    <w:rPr>
      <w:rFonts w:ascii="宋体" w:eastAsia="宋体"/>
    </w:rPr>
  </w:style>
  <w:style w:type="paragraph" w:customStyle="1" w:styleId="affffffffd">
    <w:name w:val="标准_四级无标题"/>
    <w:basedOn w:val="affffff0"/>
    <w:next w:val="affff7"/>
    <w:qFormat/>
    <w:rPr>
      <w:rFonts w:eastAsia="宋体"/>
    </w:rPr>
  </w:style>
  <w:style w:type="paragraph" w:customStyle="1" w:styleId="affffffffe">
    <w:name w:val="标准文件_四级无标题"/>
    <w:basedOn w:val="affffff0"/>
    <w:qFormat/>
    <w:pPr>
      <w:spacing w:beforeLines="0" w:before="0" w:afterLines="0" w:after="0"/>
      <w:outlineLvl w:val="9"/>
    </w:pPr>
    <w:rPr>
      <w:rFonts w:ascii="宋体" w:eastAsia="宋体" w:hAnsi="黑体"/>
      <w:szCs w:val="52"/>
    </w:rPr>
  </w:style>
  <w:style w:type="paragraph" w:customStyle="1" w:styleId="aff">
    <w:name w:val="标准文件_大写罗马数字编号列项"/>
    <w:basedOn w:val="affff7"/>
    <w:pPr>
      <w:numPr>
        <w:numId w:val="21"/>
      </w:numPr>
      <w:ind w:firstLineChars="0" w:firstLine="0"/>
    </w:pPr>
    <w:rPr>
      <w:rFonts w:ascii="Times New Roman" w:cs="Arial"/>
      <w:szCs w:val="28"/>
    </w:rPr>
  </w:style>
  <w:style w:type="paragraph" w:customStyle="1" w:styleId="ae">
    <w:name w:val="标准文件_小写罗马数字编号列项"/>
    <w:basedOn w:val="affff7"/>
    <w:pPr>
      <w:numPr>
        <w:numId w:val="22"/>
      </w:numPr>
      <w:ind w:firstLineChars="0" w:firstLine="0"/>
    </w:pPr>
    <w:rPr>
      <w:rFonts w:cs="Arial"/>
      <w:szCs w:val="28"/>
    </w:rPr>
  </w:style>
  <w:style w:type="paragraph" w:customStyle="1" w:styleId="afffffffff">
    <w:name w:val="标准文件_附录标题"/>
    <w:basedOn w:val="aff1"/>
    <w:qFormat/>
    <w:pPr>
      <w:numPr>
        <w:numId w:val="0"/>
      </w:numPr>
      <w:spacing w:after="280"/>
      <w:outlineLvl w:val="9"/>
    </w:pPr>
  </w:style>
  <w:style w:type="paragraph" w:customStyle="1" w:styleId="afffffffff0">
    <w:name w:val="标准文件_二级项"/>
    <w:rPr>
      <w:rFonts w:ascii="宋体" w:hAnsi="Times New Roman"/>
      <w:sz w:val="21"/>
    </w:rPr>
  </w:style>
  <w:style w:type="paragraph" w:customStyle="1" w:styleId="af4">
    <w:name w:val="标准文件_三级项"/>
    <w:basedOn w:val="affc"/>
    <w:pPr>
      <w:numPr>
        <w:ilvl w:val="2"/>
        <w:numId w:val="19"/>
      </w:numPr>
      <w:spacing w:line="-300" w:lineRule="auto"/>
    </w:pPr>
    <w:rPr>
      <w:rFonts w:ascii="Times New Roman" w:hAnsi="Times New Roman"/>
    </w:rPr>
  </w:style>
  <w:style w:type="paragraph" w:customStyle="1" w:styleId="aff8">
    <w:name w:val="图表脚注说明"/>
    <w:basedOn w:val="affc"/>
    <w:next w:val="affff7"/>
    <w:pPr>
      <w:numPr>
        <w:numId w:val="23"/>
      </w:numPr>
      <w:adjustRightInd/>
      <w:spacing w:line="240" w:lineRule="auto"/>
      <w:ind w:left="783"/>
    </w:pPr>
    <w:rPr>
      <w:rFonts w:ascii="宋体" w:hAnsi="Times New Roman"/>
      <w:sz w:val="18"/>
      <w:szCs w:val="18"/>
    </w:rPr>
  </w:style>
  <w:style w:type="paragraph" w:customStyle="1" w:styleId="afffffffff1">
    <w:name w:val="标准文件_字母编号列项（一级）"/>
    <w:pPr>
      <w:jc w:val="both"/>
    </w:pPr>
    <w:rPr>
      <w:rFonts w:ascii="宋体" w:hAnsi="Times New Roman"/>
      <w:sz w:val="21"/>
    </w:rPr>
  </w:style>
  <w:style w:type="paragraph" w:customStyle="1" w:styleId="afffffffff2">
    <w:name w:val="标准文件_索引字母"/>
    <w:next w:val="affff7"/>
    <w:qFormat/>
    <w:pPr>
      <w:jc w:val="center"/>
    </w:pPr>
    <w:rPr>
      <w:rFonts w:ascii="宋体" w:eastAsia="Times New Roman" w:hAnsi="宋体"/>
      <w:b/>
      <w:kern w:val="2"/>
      <w:sz w:val="21"/>
    </w:rPr>
  </w:style>
  <w:style w:type="paragraph" w:customStyle="1" w:styleId="afffffffff3">
    <w:name w:val="标准文件_附录前"/>
    <w:next w:val="affff7"/>
    <w:qFormat/>
    <w:pPr>
      <w:spacing w:line="20" w:lineRule="atLeast"/>
      <w:ind w:firstLine="200"/>
    </w:pPr>
    <w:rPr>
      <w:rFonts w:ascii="宋体" w:hAnsi="宋体"/>
      <w:kern w:val="2"/>
      <w:sz w:val="10"/>
    </w:rPr>
  </w:style>
  <w:style w:type="paragraph" w:customStyle="1" w:styleId="afffffffff4">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7"/>
    <w:qFormat/>
    <w:pPr>
      <w:ind w:firstLineChars="0" w:firstLine="0"/>
      <w:jc w:val="center"/>
    </w:pPr>
    <w:rPr>
      <w:sz w:val="18"/>
    </w:rPr>
  </w:style>
  <w:style w:type="paragraph" w:customStyle="1" w:styleId="aff9">
    <w:name w:val="标准文件_注："/>
    <w:next w:val="affff7"/>
    <w:pPr>
      <w:widowControl w:val="0"/>
      <w:numPr>
        <w:numId w:val="24"/>
      </w:numPr>
      <w:autoSpaceDE w:val="0"/>
      <w:autoSpaceDN w:val="0"/>
      <w:jc w:val="both"/>
    </w:pPr>
    <w:rPr>
      <w:rFonts w:ascii="宋体" w:hAnsi="Times New Roman"/>
      <w:sz w:val="18"/>
      <w:szCs w:val="18"/>
    </w:rPr>
  </w:style>
  <w:style w:type="paragraph" w:customStyle="1" w:styleId="a5">
    <w:name w:val="标准文件_注×："/>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6"/>
      </w:numPr>
      <w:jc w:val="both"/>
    </w:pPr>
    <w:rPr>
      <w:rFonts w:ascii="宋体" w:hAnsi="Times New Roman"/>
      <w:sz w:val="18"/>
      <w:szCs w:val="18"/>
    </w:rPr>
  </w:style>
  <w:style w:type="paragraph" w:customStyle="1" w:styleId="afffffffff6">
    <w:name w:val="标准文件_示例内容"/>
    <w:basedOn w:val="affff7"/>
    <w:qFormat/>
    <w:pPr>
      <w:ind w:firstLine="420"/>
    </w:pPr>
    <w:rPr>
      <w:sz w:val="18"/>
    </w:rPr>
  </w:style>
  <w:style w:type="paragraph" w:customStyle="1" w:styleId="af8">
    <w:name w:val="标准文件_示例×："/>
    <w:basedOn w:val="affc"/>
    <w:next w:val="afffffffff6"/>
    <w:qFormat/>
    <w:pPr>
      <w:widowControl/>
      <w:numPr>
        <w:numId w:val="27"/>
      </w:numPr>
      <w:adjustRightInd/>
      <w:spacing w:line="240" w:lineRule="auto"/>
    </w:pPr>
    <w:rPr>
      <w:rFonts w:ascii="宋体" w:hAnsi="Times New Roman"/>
      <w:kern w:val="0"/>
      <w:sz w:val="18"/>
      <w:szCs w:val="18"/>
    </w:rPr>
  </w:style>
  <w:style w:type="character" w:customStyle="1" w:styleId="Char6">
    <w:name w:val="标准文件_段 Char"/>
    <w:link w:val="affff7"/>
    <w:rPr>
      <w:rFonts w:ascii="宋体" w:hAnsi="Times New Roman"/>
      <w:sz w:val="21"/>
    </w:rPr>
  </w:style>
  <w:style w:type="paragraph" w:customStyle="1" w:styleId="afffffffff7">
    <w:name w:val="标准文件_表格续"/>
    <w:basedOn w:val="affff7"/>
    <w:next w:val="affff7"/>
    <w:qFormat/>
    <w:pPr>
      <w:jc w:val="center"/>
    </w:pPr>
    <w:rPr>
      <w:rFonts w:ascii="黑体" w:eastAsia="黑体" w:hAnsi="黑体"/>
    </w:rPr>
  </w:style>
  <w:style w:type="character" w:styleId="afffffffff8">
    <w:name w:val="Placeholder Text"/>
    <w:uiPriority w:val="99"/>
    <w:semiHidden/>
    <w:rPr>
      <w:color w:val="808080"/>
    </w:rPr>
  </w:style>
  <w:style w:type="paragraph" w:customStyle="1" w:styleId="2">
    <w:name w:val="标准文件_二级项2"/>
    <w:basedOn w:val="affff7"/>
    <w:qFormat/>
    <w:pPr>
      <w:numPr>
        <w:ilvl w:val="1"/>
        <w:numId w:val="19"/>
      </w:numPr>
      <w:ind w:left="1271" w:firstLineChars="0" w:hanging="420"/>
    </w:pPr>
  </w:style>
  <w:style w:type="paragraph" w:customStyle="1" w:styleId="21">
    <w:name w:val="标准文件_三级项2"/>
    <w:basedOn w:val="affff7"/>
    <w:qFormat/>
    <w:pPr>
      <w:numPr>
        <w:numId w:val="28"/>
      </w:numPr>
      <w:spacing w:line="300" w:lineRule="exact"/>
      <w:ind w:left="1276" w:firstLineChars="0" w:hanging="425"/>
    </w:pPr>
    <w:rPr>
      <w:rFonts w:ascii="Times New Roman"/>
    </w:rPr>
  </w:style>
  <w:style w:type="paragraph" w:customStyle="1" w:styleId="20">
    <w:name w:val="标准文件_一级项2"/>
    <w:basedOn w:val="affff7"/>
    <w:qFormat/>
    <w:pPr>
      <w:numPr>
        <w:numId w:val="29"/>
      </w:numPr>
      <w:spacing w:line="300" w:lineRule="exact"/>
      <w:ind w:left="1271" w:firstLineChars="0" w:hanging="420"/>
    </w:pPr>
    <w:rPr>
      <w:rFonts w:ascii="Times New Roman"/>
    </w:rPr>
  </w:style>
  <w:style w:type="paragraph" w:customStyle="1" w:styleId="afffffffff9">
    <w:name w:val="标准文件_提示"/>
    <w:basedOn w:val="affff7"/>
    <w:next w:val="affff7"/>
    <w:qFormat/>
    <w:pPr>
      <w:ind w:firstLine="420"/>
    </w:pPr>
    <w:rPr>
      <w:rFonts w:ascii="黑体" w:eastAsia="黑体"/>
    </w:rPr>
  </w:style>
  <w:style w:type="character" w:customStyle="1" w:styleId="afffffffffa">
    <w:name w:val="标准文件_来源"/>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d"/>
    <w:pPr>
      <w:framePr w:w="3997" w:h="471" w:hRule="exact" w:hSpace="0" w:vSpace="181" w:wrap="around" w:vAnchor="page" w:hAnchor="page" w:x="1419" w:y="14097"/>
    </w:pPr>
  </w:style>
  <w:style w:type="paragraph" w:customStyle="1" w:styleId="afffffffffd">
    <w:name w:val="其他实施日期"/>
    <w:basedOn w:val="affffffff4"/>
    <w:pPr>
      <w:framePr w:w="3997" w:h="471" w:hRule="exact" w:vSpace="181" w:wrap="around" w:vAnchor="page" w:hAnchor="page" w:x="7089" w:y="14097"/>
    </w:pPr>
  </w:style>
  <w:style w:type="paragraph" w:customStyle="1" w:styleId="afffffffffe">
    <w:name w:val="标准文件_文件编号"/>
    <w:basedOn w:val="a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7"/>
    <w:next w:val="a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6">
    <w:name w:val="标准文件_附录图标号"/>
    <w:basedOn w:val="affff7"/>
    <w:next w:val="affff7"/>
    <w:qFormat/>
    <w:pPr>
      <w:numPr>
        <w:numId w:val="5"/>
      </w:numPr>
      <w:spacing w:line="14" w:lineRule="exact"/>
      <w:ind w:firstLineChars="0" w:firstLine="0"/>
      <w:jc w:val="center"/>
    </w:pPr>
    <w:rPr>
      <w:rFonts w:ascii="黑体" w:eastAsia="黑体" w:hAnsi="黑体"/>
      <w:vanish/>
      <w:sz w:val="2"/>
      <w:szCs w:val="21"/>
    </w:rPr>
  </w:style>
  <w:style w:type="paragraph" w:customStyle="1" w:styleId="afc">
    <w:name w:val="标准文件_附录表标号"/>
    <w:basedOn w:val="affff7"/>
    <w:next w:val="affff7"/>
    <w:qFormat/>
    <w:pPr>
      <w:numPr>
        <w:numId w:val="4"/>
      </w:numPr>
      <w:spacing w:line="14" w:lineRule="exact"/>
      <w:ind w:firstLineChars="0" w:firstLine="0"/>
      <w:jc w:val="center"/>
    </w:pPr>
    <w:rPr>
      <w:rFonts w:eastAsia="黑体"/>
      <w:vanish/>
      <w:sz w:val="2"/>
    </w:rPr>
  </w:style>
  <w:style w:type="paragraph" w:customStyle="1" w:styleId="a7">
    <w:name w:val="标准文件_引言一级条标题"/>
    <w:basedOn w:val="affff7"/>
    <w:next w:val="affff7"/>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pPr>
      <w:numPr>
        <w:ilvl w:val="5"/>
        <w:numId w:val="7"/>
      </w:numPr>
      <w:spacing w:beforeLines="50" w:before="50" w:afterLines="50" w:after="50"/>
      <w:ind w:firstLineChars="0"/>
    </w:pPr>
    <w:rPr>
      <w:rFonts w:ascii="黑体" w:eastAsia="黑体"/>
    </w:rPr>
  </w:style>
  <w:style w:type="paragraph" w:customStyle="1" w:styleId="affffffffff1">
    <w:name w:val="标准文件_注后"/>
    <w:basedOn w:val="affff7"/>
    <w:qFormat/>
    <w:pPr>
      <w:ind w:left="811" w:firstLineChars="0" w:firstLine="0"/>
    </w:pPr>
    <w:rPr>
      <w:sz w:val="18"/>
    </w:rPr>
  </w:style>
  <w:style w:type="paragraph" w:customStyle="1" w:styleId="X">
    <w:name w:val="标准文件_注X后"/>
    <w:basedOn w:val="affff7"/>
    <w:qFormat/>
    <w:pPr>
      <w:ind w:left="811" w:firstLineChars="0" w:firstLine="0"/>
    </w:pPr>
    <w:rPr>
      <w:sz w:val="18"/>
    </w:rPr>
  </w:style>
  <w:style w:type="paragraph" w:customStyle="1" w:styleId="affffffffff2">
    <w:name w:val="标准文件_示例后"/>
    <w:basedOn w:val="affff7"/>
    <w:qFormat/>
    <w:pPr>
      <w:ind w:left="964" w:firstLineChars="0" w:firstLine="0"/>
    </w:pPr>
    <w:rPr>
      <w:sz w:val="18"/>
    </w:rPr>
  </w:style>
  <w:style w:type="paragraph" w:customStyle="1" w:styleId="X0">
    <w:name w:val="标准文件_示例X后"/>
    <w:basedOn w:val="affff7"/>
    <w:link w:val="X1"/>
    <w:qFormat/>
    <w:pPr>
      <w:ind w:left="1049" w:firstLineChars="0" w:firstLine="0"/>
    </w:pPr>
    <w:rPr>
      <w:sz w:val="18"/>
    </w:rPr>
  </w:style>
  <w:style w:type="character" w:customStyle="1" w:styleId="X1">
    <w:name w:val="标准文件_示例X后 字符"/>
    <w:link w:val="X0"/>
    <w:rPr>
      <w:rFonts w:ascii="宋体" w:hAnsi="Times New Roman"/>
      <w:sz w:val="18"/>
    </w:rPr>
  </w:style>
  <w:style w:type="paragraph" w:customStyle="1" w:styleId="affffffffff3">
    <w:name w:val="标准文件_索引项"/>
    <w:basedOn w:val="affff7"/>
    <w:next w:val="affff7"/>
    <w:qFormat/>
    <w:pPr>
      <w:tabs>
        <w:tab w:val="right" w:leader="dot" w:pos="9356"/>
      </w:tabs>
      <w:ind w:left="210" w:firstLineChars="0" w:hanging="210"/>
      <w:jc w:val="left"/>
    </w:pPr>
  </w:style>
  <w:style w:type="paragraph" w:customStyle="1" w:styleId="affffffffff4">
    <w:name w:val="标准文件_附录一级无标题"/>
    <w:basedOn w:val="aff2"/>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3"/>
    <w:pPr>
      <w:spacing w:beforeLines="0" w:before="0" w:afterLines="0" w:after="0" w:line="276" w:lineRule="auto"/>
      <w:outlineLvl w:val="9"/>
    </w:pPr>
    <w:rPr>
      <w:rFonts w:ascii="宋体" w:eastAsia="宋体"/>
    </w:rPr>
  </w:style>
  <w:style w:type="paragraph" w:customStyle="1" w:styleId="affffffffff6">
    <w:name w:val="标准文件_附录三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6"/>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7"/>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7"/>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7"/>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7"/>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7"/>
    <w:qFormat/>
    <w:pPr>
      <w:spacing w:beforeLines="0" w:before="0" w:afterLines="0" w:after="0" w:line="276" w:lineRule="auto"/>
    </w:pPr>
    <w:rPr>
      <w:rFonts w:ascii="宋体" w:eastAsia="宋体"/>
    </w:rPr>
  </w:style>
  <w:style w:type="paragraph" w:customStyle="1" w:styleId="affffffffffe">
    <w:name w:val="标准文件_索引标题"/>
    <w:basedOn w:val="affffe"/>
    <w:next w:val="affff7"/>
    <w:qFormat/>
    <w:rPr>
      <w:rFonts w:hAnsi="黑体"/>
    </w:rPr>
  </w:style>
  <w:style w:type="paragraph" w:customStyle="1" w:styleId="afffffffffff">
    <w:name w:val="标准文件_脚注内容"/>
    <w:basedOn w:val="affff7"/>
    <w:qFormat/>
    <w:pPr>
      <w:ind w:leftChars="200" w:left="400" w:hangingChars="200" w:hanging="200"/>
    </w:pPr>
    <w:rPr>
      <w:sz w:val="15"/>
    </w:rPr>
  </w:style>
  <w:style w:type="paragraph" w:customStyle="1" w:styleId="afffffffffff0">
    <w:name w:val="标准文件_术语条一"/>
    <w:basedOn w:val="affffffff9"/>
    <w:next w:val="affff7"/>
    <w:qFormat/>
  </w:style>
  <w:style w:type="paragraph" w:customStyle="1" w:styleId="afffffffffff1">
    <w:name w:val="标准文件_术语条二"/>
    <w:basedOn w:val="affffffffc"/>
    <w:next w:val="affff7"/>
    <w:qFormat/>
  </w:style>
  <w:style w:type="paragraph" w:customStyle="1" w:styleId="afffffffffff2">
    <w:name w:val="标准文件_术语条三"/>
    <w:basedOn w:val="affffffffb"/>
    <w:next w:val="affff7"/>
    <w:qFormat/>
  </w:style>
  <w:style w:type="paragraph" w:customStyle="1" w:styleId="afffffffffff3">
    <w:name w:val="标准文件_术语条四"/>
    <w:basedOn w:val="affffffffe"/>
    <w:next w:val="affff7"/>
    <w:qFormat/>
  </w:style>
  <w:style w:type="paragraph" w:customStyle="1" w:styleId="afffffffffff4">
    <w:name w:val="标准文件_术语条五"/>
    <w:basedOn w:val="affffffffa"/>
    <w:next w:val="a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rPr>
      <w:rFonts w:ascii="黑体" w:eastAsia="黑体"/>
      <w:spacing w:val="85"/>
      <w:w w:val="100"/>
      <w:position w:val="3"/>
      <w:sz w:val="28"/>
      <w:szCs w:val="28"/>
    </w:rPr>
  </w:style>
  <w:style w:type="character" w:customStyle="1" w:styleId="Char7">
    <w:name w:val="段 Char"/>
    <w:link w:val="afffffffffff6"/>
    <w:rPr>
      <w:rFonts w:ascii="宋体"/>
      <w:sz w:val="21"/>
    </w:rPr>
  </w:style>
  <w:style w:type="paragraph" w:customStyle="1" w:styleId="afffffffffff6">
    <w:name w:val="段"/>
    <w:link w:val="Char7"/>
    <w:pPr>
      <w:tabs>
        <w:tab w:val="center" w:pos="4201"/>
        <w:tab w:val="right" w:leader="dot" w:pos="9298"/>
      </w:tabs>
      <w:autoSpaceDE w:val="0"/>
      <w:autoSpaceDN w:val="0"/>
      <w:ind w:firstLineChars="200" w:firstLine="420"/>
      <w:jc w:val="both"/>
    </w:pPr>
    <w:rPr>
      <w:rFonts w:ascii="宋体"/>
      <w:sz w:val="21"/>
    </w:rPr>
  </w:style>
  <w:style w:type="paragraph" w:customStyle="1" w:styleId="af2">
    <w:name w:val="一级条标题"/>
    <w:next w:val="affc"/>
    <w:pPr>
      <w:numPr>
        <w:ilvl w:val="1"/>
        <w:numId w:val="30"/>
      </w:numPr>
      <w:spacing w:beforeLines="50" w:before="156" w:afterLines="50" w:after="156"/>
      <w:ind w:left="284"/>
      <w:outlineLvl w:val="2"/>
    </w:pPr>
    <w:rPr>
      <w:rFonts w:ascii="黑体" w:eastAsia="黑体" w:hAnsi="Times New Roman"/>
      <w:sz w:val="21"/>
      <w:szCs w:val="21"/>
    </w:rPr>
  </w:style>
  <w:style w:type="paragraph" w:styleId="afffffffffff7">
    <w:name w:val="List Paragraph"/>
    <w:basedOn w:val="affc"/>
    <w:link w:val="Char8"/>
    <w:uiPriority w:val="34"/>
    <w:qFormat/>
    <w:pPr>
      <w:adjustRightInd/>
      <w:spacing w:line="240" w:lineRule="auto"/>
      <w:ind w:firstLineChars="200" w:firstLine="420"/>
    </w:pPr>
    <w:rPr>
      <w:szCs w:val="22"/>
    </w:rPr>
  </w:style>
  <w:style w:type="paragraph" w:customStyle="1" w:styleId="afffffffffff8">
    <w:name w:val="目次、标准名称标题"/>
    <w:basedOn w:val="affc"/>
    <w:next w:val="afffffffffff6"/>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character" w:customStyle="1" w:styleId="Char8">
    <w:name w:val="列出段落 Char"/>
    <w:link w:val="afffffffffff7"/>
    <w:uiPriority w:val="34"/>
    <w:rPr>
      <w:kern w:val="2"/>
      <w:sz w:val="21"/>
      <w:szCs w:val="22"/>
    </w:rPr>
  </w:style>
  <w:style w:type="paragraph" w:customStyle="1" w:styleId="ARISTEXT">
    <w:name w:val="ARIS TEXT"/>
    <w:basedOn w:val="affc"/>
    <w:link w:val="ARISTEXTChar"/>
    <w:qFormat/>
    <w:pPr>
      <w:adjustRightInd/>
      <w:spacing w:line="240" w:lineRule="auto"/>
    </w:pPr>
    <w:rPr>
      <w:rFonts w:ascii="Cambria Math" w:hAnsi="Cambria Math" w:cs="宋体"/>
      <w:kern w:val="0"/>
    </w:rPr>
  </w:style>
  <w:style w:type="character" w:customStyle="1" w:styleId="ARISTEXTChar">
    <w:name w:val="ARIS TEXT Char"/>
    <w:link w:val="ARISTEXT"/>
    <w:qFormat/>
    <w:rPr>
      <w:rFonts w:ascii="Cambria Math" w:hAnsi="Cambria Math" w:cs="宋体"/>
      <w:sz w:val="21"/>
      <w:szCs w:val="21"/>
    </w:rPr>
  </w:style>
  <w:style w:type="paragraph" w:customStyle="1" w:styleId="12">
    <w:name w:val="正文缩进1"/>
    <w:basedOn w:val="affc"/>
    <w:qFormat/>
    <w:pPr>
      <w:adjustRightInd/>
      <w:spacing w:before="120" w:after="120" w:line="240" w:lineRule="auto"/>
      <w:ind w:left="940"/>
    </w:pPr>
    <w:rPr>
      <w:rFonts w:ascii="Times New Roman" w:hAnsi="Times New Roman"/>
      <w:kern w:val="0"/>
      <w:sz w:val="24"/>
      <w:szCs w:val="20"/>
    </w:rPr>
  </w:style>
  <w:style w:type="paragraph" w:customStyle="1" w:styleId="ARISTITLE1">
    <w:name w:val="ARIS TITLE1"/>
    <w:basedOn w:val="affc"/>
    <w:pPr>
      <w:keepNext/>
      <w:keepLines/>
      <w:numPr>
        <w:numId w:val="31"/>
      </w:numPr>
      <w:autoSpaceDE w:val="0"/>
      <w:autoSpaceDN w:val="0"/>
      <w:spacing w:before="120" w:after="120" w:line="276" w:lineRule="auto"/>
      <w:ind w:right="210"/>
      <w:jc w:val="left"/>
      <w:outlineLvl w:val="0"/>
    </w:pPr>
    <w:rPr>
      <w:rFonts w:ascii="Times New Roman" w:hAnsi="Times New Roman"/>
      <w:b/>
      <w:bCs/>
      <w:kern w:val="0"/>
      <w:sz w:val="24"/>
      <w:szCs w:val="24"/>
    </w:rPr>
  </w:style>
  <w:style w:type="paragraph" w:customStyle="1" w:styleId="ARISTITLE2">
    <w:name w:val="ARIS TITLE2"/>
    <w:basedOn w:val="affc"/>
    <w:link w:val="ARISTITLE2Char"/>
    <w:qFormat/>
    <w:pPr>
      <w:keepNext/>
      <w:keepLines/>
      <w:numPr>
        <w:ilvl w:val="1"/>
        <w:numId w:val="31"/>
      </w:numPr>
      <w:tabs>
        <w:tab w:val="left" w:pos="709"/>
      </w:tabs>
      <w:autoSpaceDE w:val="0"/>
      <w:autoSpaceDN w:val="0"/>
      <w:spacing w:before="120" w:after="120" w:line="276" w:lineRule="auto"/>
      <w:jc w:val="left"/>
      <w:outlineLvl w:val="0"/>
    </w:pPr>
    <w:rPr>
      <w:rFonts w:ascii="Times New Roman" w:hAnsi="Times New Roman"/>
      <w:b/>
      <w:kern w:val="0"/>
      <w:sz w:val="24"/>
      <w:szCs w:val="24"/>
    </w:rPr>
  </w:style>
  <w:style w:type="paragraph" w:customStyle="1" w:styleId="ARISTITLE3">
    <w:name w:val="ARIS TITLE3"/>
    <w:basedOn w:val="1"/>
    <w:next w:val="affc"/>
    <w:qFormat/>
    <w:pPr>
      <w:numPr>
        <w:ilvl w:val="2"/>
        <w:numId w:val="31"/>
      </w:numPr>
      <w:tabs>
        <w:tab w:val="left" w:pos="0"/>
      </w:tabs>
      <w:adjustRightInd/>
      <w:spacing w:before="120" w:after="120" w:line="280" w:lineRule="exact"/>
      <w:ind w:left="0" w:firstLine="0"/>
      <w:jc w:val="left"/>
    </w:pPr>
    <w:rPr>
      <w:rFonts w:ascii="Times New Roman" w:hAnsi="Times New Roman"/>
      <w:bCs w:val="0"/>
      <w:sz w:val="24"/>
      <w:szCs w:val="20"/>
    </w:rPr>
  </w:style>
  <w:style w:type="paragraph" w:customStyle="1" w:styleId="ARISTITLE4">
    <w:name w:val="ARIS TITLE4"/>
    <w:basedOn w:val="ARISTEXT"/>
    <w:qFormat/>
    <w:pPr>
      <w:numPr>
        <w:ilvl w:val="3"/>
        <w:numId w:val="31"/>
      </w:numPr>
      <w:outlineLvl w:val="3"/>
    </w:pPr>
  </w:style>
  <w:style w:type="paragraph" w:customStyle="1" w:styleId="ARISTITLE5">
    <w:name w:val="ARIS TITLE5"/>
    <w:basedOn w:val="ARISTEXT"/>
    <w:pPr>
      <w:numPr>
        <w:ilvl w:val="4"/>
        <w:numId w:val="31"/>
      </w:numPr>
      <w:spacing w:before="50" w:after="50"/>
      <w:outlineLvl w:val="4"/>
    </w:pPr>
  </w:style>
  <w:style w:type="paragraph" w:customStyle="1" w:styleId="ARISTITLE6">
    <w:name w:val="ARIS TITLE6"/>
    <w:basedOn w:val="ARISTITLE5"/>
    <w:pPr>
      <w:numPr>
        <w:ilvl w:val="5"/>
      </w:numPr>
      <w:outlineLvl w:val="5"/>
    </w:pPr>
  </w:style>
  <w:style w:type="paragraph" w:customStyle="1" w:styleId="ARISTITLE7">
    <w:name w:val="ARIS TITLE7"/>
    <w:basedOn w:val="ARISTITLE6"/>
    <w:pPr>
      <w:numPr>
        <w:ilvl w:val="6"/>
      </w:numPr>
      <w:outlineLvl w:val="6"/>
    </w:pPr>
  </w:style>
  <w:style w:type="paragraph" w:customStyle="1" w:styleId="ARISTITLE8">
    <w:name w:val="ARIS TITLE8"/>
    <w:basedOn w:val="ARISTITLE7"/>
    <w:pPr>
      <w:numPr>
        <w:ilvl w:val="7"/>
      </w:numPr>
      <w:ind w:leftChars="200" w:left="200"/>
      <w:outlineLvl w:val="7"/>
    </w:pPr>
  </w:style>
  <w:style w:type="character" w:styleId="afffffffffff9">
    <w:name w:val="annotation reference"/>
    <w:basedOn w:val="affd"/>
    <w:uiPriority w:val="99"/>
    <w:semiHidden/>
    <w:unhideWhenUsed/>
    <w:rPr>
      <w:sz w:val="21"/>
      <w:szCs w:val="21"/>
    </w:rPr>
  </w:style>
  <w:style w:type="character" w:customStyle="1" w:styleId="ARISTITLE2Char">
    <w:name w:val="ARIS TITLE2 Char"/>
    <w:link w:val="ARISTITLE2"/>
    <w:rsid w:val="00843446"/>
    <w:rPr>
      <w:rFonts w:ascii="Times New Roman"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6.emf"/><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oleObject5.bin"/><Relationship Id="rId10" Type="http://schemas.openxmlformats.org/officeDocument/2006/relationships/image" Target="media/image1.png"/><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B2842-F646-4F0D-B860-23D1D9883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77</TotalTime>
  <Pages>14</Pages>
  <Words>1561</Words>
  <Characters>8902</Characters>
  <Application>Microsoft Office Word</Application>
  <DocSecurity>0</DocSecurity>
  <Lines>74</Lines>
  <Paragraphs>20</Paragraphs>
  <ScaleCrop>false</ScaleCrop>
  <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mengxs</dc:creator>
  <dc:description>&lt;config cover="true" show_menu="true" version="1.0.0" doctype="SDKXY"&gt;_x000d_
&lt;/config&gt;</dc:description>
  <cp:lastModifiedBy>顾晓慧</cp:lastModifiedBy>
  <cp:revision>17</cp:revision>
  <cp:lastPrinted>2021-02-02T08:22:00Z</cp:lastPrinted>
  <dcterms:created xsi:type="dcterms:W3CDTF">2022-11-02T08:40:00Z</dcterms:created>
  <dcterms:modified xsi:type="dcterms:W3CDTF">2022-11-10T07:55:00Z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2052-11.1.0.12763</vt:lpwstr>
  </property>
  <property fmtid="{D5CDD505-2E9C-101B-9397-08002B2CF9AE}" pid="15" name="ICV">
    <vt:lpwstr>B5F59EAD97404DA08283D7B20D05BEBF</vt:lpwstr>
  </property>
</Properties>
</file>